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center"/>
        <w:rPr>
          <w:rFonts w:hint="default" w:ascii="Times New Roman" w:hAnsi="Times New Roman" w:eastAsia="华文中宋" w:cs="Times New Roman"/>
          <w:b/>
          <w:color w:val="auto"/>
          <w:kern w:val="0"/>
          <w:sz w:val="52"/>
          <w:szCs w:val="52"/>
        </w:rPr>
      </w:pPr>
    </w:p>
    <w:p>
      <w:pPr>
        <w:spacing w:line="540" w:lineRule="exact"/>
        <w:rPr>
          <w:rFonts w:hint="default" w:ascii="Times New Roman" w:hAnsi="Times New Roman" w:eastAsia="华文中宋" w:cs="Times New Roman"/>
          <w:b/>
          <w:color w:val="auto"/>
          <w:kern w:val="0"/>
          <w:sz w:val="52"/>
          <w:szCs w:val="52"/>
        </w:rPr>
      </w:pPr>
    </w:p>
    <w:p>
      <w:pPr>
        <w:spacing w:line="540" w:lineRule="exact"/>
        <w:jc w:val="center"/>
        <w:rPr>
          <w:rFonts w:hint="default" w:ascii="Times New Roman" w:hAnsi="Times New Roman" w:eastAsia="华文中宋" w:cs="Times New Roman"/>
          <w:b/>
          <w:color w:val="auto"/>
          <w:kern w:val="0"/>
          <w:sz w:val="52"/>
          <w:szCs w:val="52"/>
        </w:rPr>
      </w:pPr>
    </w:p>
    <w:p>
      <w:pPr>
        <w:spacing w:line="540" w:lineRule="exact"/>
        <w:jc w:val="center"/>
        <w:rPr>
          <w:rFonts w:hint="default" w:ascii="Times New Roman" w:hAnsi="Times New Roman" w:eastAsia="华文中宋" w:cs="Times New Roman"/>
          <w:b/>
          <w:color w:val="auto"/>
          <w:kern w:val="0"/>
          <w:sz w:val="52"/>
          <w:szCs w:val="52"/>
        </w:rPr>
      </w:pPr>
    </w:p>
    <w:p>
      <w:pPr>
        <w:spacing w:line="540" w:lineRule="exact"/>
        <w:jc w:val="center"/>
        <w:rPr>
          <w:rFonts w:hint="default" w:ascii="Times New Roman" w:hAnsi="Times New Roman" w:eastAsia="方正小标宋简体" w:cs="Times New Roman"/>
          <w:color w:val="auto"/>
          <w:kern w:val="0"/>
          <w:sz w:val="44"/>
          <w:szCs w:val="44"/>
        </w:rPr>
      </w:pPr>
      <w:r>
        <w:rPr>
          <w:rFonts w:hint="default" w:ascii="Times New Roman" w:hAnsi="Times New Roman" w:eastAsia="方正小标宋简体" w:cs="Times New Roman"/>
          <w:color w:val="auto"/>
          <w:kern w:val="0"/>
          <w:sz w:val="44"/>
          <w:szCs w:val="44"/>
        </w:rPr>
        <w:t>资产清查及资产核销项目</w:t>
      </w:r>
    </w:p>
    <w:p>
      <w:pPr>
        <w:spacing w:line="540" w:lineRule="exact"/>
        <w:jc w:val="center"/>
        <w:rPr>
          <w:rFonts w:hint="default" w:ascii="Times New Roman" w:hAnsi="Times New Roman" w:eastAsia="方正小标宋简体" w:cs="Times New Roman"/>
          <w:color w:val="auto"/>
          <w:kern w:val="0"/>
          <w:sz w:val="44"/>
          <w:szCs w:val="44"/>
        </w:rPr>
      </w:pPr>
      <w:r>
        <w:rPr>
          <w:rFonts w:hint="default" w:ascii="Times New Roman" w:hAnsi="Times New Roman" w:eastAsia="方正小标宋简体" w:cs="Times New Roman"/>
          <w:color w:val="auto"/>
          <w:kern w:val="0"/>
          <w:sz w:val="44"/>
          <w:szCs w:val="44"/>
        </w:rPr>
        <w:t>支出绩效评价报告</w:t>
      </w:r>
    </w:p>
    <w:p>
      <w:pPr>
        <w:spacing w:line="540" w:lineRule="exact"/>
        <w:jc w:val="center"/>
        <w:rPr>
          <w:rFonts w:hint="default" w:ascii="Times New Roman" w:hAnsi="Times New Roman" w:eastAsia="华文中宋" w:cs="Times New Roman"/>
          <w:b/>
          <w:color w:val="auto"/>
          <w:kern w:val="0"/>
          <w:sz w:val="52"/>
          <w:szCs w:val="52"/>
        </w:rPr>
      </w:pPr>
    </w:p>
    <w:p>
      <w:pPr>
        <w:spacing w:line="540" w:lineRule="exact"/>
        <w:jc w:val="center"/>
        <w:rPr>
          <w:rFonts w:hint="default" w:ascii="Times New Roman" w:hAnsi="Times New Roman" w:eastAsia="仿宋_GB2312" w:cs="Times New Roman"/>
          <w:color w:val="auto"/>
          <w:kern w:val="0"/>
          <w:sz w:val="36"/>
          <w:szCs w:val="36"/>
        </w:rPr>
      </w:pPr>
      <w:r>
        <w:rPr>
          <w:rFonts w:hint="default" w:ascii="Times New Roman" w:hAnsi="Times New Roman" w:eastAsia="仿宋_GB2312" w:cs="Times New Roman"/>
          <w:color w:val="auto"/>
          <w:kern w:val="0"/>
          <w:sz w:val="36"/>
          <w:szCs w:val="36"/>
        </w:rPr>
        <w:t>（202</w:t>
      </w:r>
      <w:r>
        <w:rPr>
          <w:rFonts w:hint="default" w:ascii="Times New Roman" w:hAnsi="Times New Roman" w:eastAsia="仿宋_GB2312" w:cs="Times New Roman"/>
          <w:color w:val="auto"/>
          <w:kern w:val="0"/>
          <w:sz w:val="36"/>
          <w:szCs w:val="36"/>
          <w:lang w:val="en-US" w:eastAsia="zh-CN"/>
        </w:rPr>
        <w:t>4</w:t>
      </w:r>
      <w:r>
        <w:rPr>
          <w:rFonts w:hint="default" w:ascii="Times New Roman" w:hAnsi="Times New Roman" w:eastAsia="仿宋_GB2312" w:cs="Times New Roman"/>
          <w:color w:val="auto"/>
          <w:kern w:val="0"/>
          <w:sz w:val="36"/>
          <w:szCs w:val="36"/>
        </w:rPr>
        <w:t>年度）</w:t>
      </w:r>
    </w:p>
    <w:p>
      <w:pPr>
        <w:spacing w:line="540" w:lineRule="exact"/>
        <w:jc w:val="center"/>
        <w:rPr>
          <w:rFonts w:hint="default" w:ascii="Times New Roman" w:hAnsi="Times New Roman" w:eastAsia="仿宋_GB2312" w:cs="Times New Roman"/>
          <w:color w:val="auto"/>
          <w:kern w:val="0"/>
          <w:sz w:val="30"/>
          <w:szCs w:val="30"/>
        </w:rPr>
      </w:pPr>
    </w:p>
    <w:p>
      <w:pPr>
        <w:spacing w:line="540" w:lineRule="exact"/>
        <w:jc w:val="center"/>
        <w:rPr>
          <w:rFonts w:hint="default" w:ascii="Times New Roman" w:hAnsi="Times New Roman" w:eastAsia="仿宋_GB2312" w:cs="Times New Roman"/>
          <w:color w:val="auto"/>
          <w:kern w:val="0"/>
          <w:sz w:val="30"/>
          <w:szCs w:val="30"/>
        </w:rPr>
      </w:pPr>
    </w:p>
    <w:p>
      <w:pPr>
        <w:spacing w:line="540" w:lineRule="exact"/>
        <w:jc w:val="center"/>
        <w:rPr>
          <w:rFonts w:hint="default" w:ascii="Times New Roman" w:hAnsi="Times New Roman" w:eastAsia="仿宋_GB2312" w:cs="Times New Roman"/>
          <w:color w:val="auto"/>
          <w:kern w:val="0"/>
          <w:sz w:val="30"/>
          <w:szCs w:val="30"/>
        </w:rPr>
      </w:pPr>
    </w:p>
    <w:p>
      <w:pPr>
        <w:pStyle w:val="16"/>
        <w:rPr>
          <w:rFonts w:hint="default" w:ascii="Times New Roman" w:hAnsi="Times New Roman" w:cs="Times New Roman"/>
          <w:color w:val="auto"/>
        </w:rPr>
      </w:pPr>
    </w:p>
    <w:p>
      <w:pPr>
        <w:spacing w:line="540" w:lineRule="exact"/>
        <w:jc w:val="center"/>
        <w:rPr>
          <w:rFonts w:hint="default" w:ascii="Times New Roman" w:hAnsi="Times New Roman" w:eastAsia="仿宋_GB2312" w:cs="Times New Roman"/>
          <w:color w:val="auto"/>
          <w:kern w:val="0"/>
          <w:sz w:val="30"/>
          <w:szCs w:val="30"/>
        </w:rPr>
      </w:pPr>
    </w:p>
    <w:p>
      <w:pPr>
        <w:spacing w:line="540" w:lineRule="exact"/>
        <w:rPr>
          <w:rFonts w:hint="default" w:ascii="Times New Roman" w:hAnsi="Times New Roman" w:eastAsia="仿宋_GB2312" w:cs="Times New Roman"/>
          <w:color w:val="auto"/>
          <w:kern w:val="0"/>
          <w:sz w:val="30"/>
          <w:szCs w:val="30"/>
        </w:rPr>
      </w:pPr>
    </w:p>
    <w:p>
      <w:pPr>
        <w:spacing w:line="700" w:lineRule="exact"/>
        <w:ind w:firstLine="1440" w:firstLineChars="400"/>
        <w:jc w:val="left"/>
        <w:rPr>
          <w:rFonts w:hint="default" w:ascii="Times New Roman" w:hAnsi="Times New Roman" w:eastAsia="仿宋_GB2312" w:cs="Times New Roman"/>
          <w:color w:val="auto"/>
          <w:sz w:val="30"/>
          <w:szCs w:val="30"/>
          <w:highlight w:val="none"/>
          <w:u w:val="none"/>
        </w:rPr>
      </w:pPr>
      <w:r>
        <w:rPr>
          <w:rFonts w:hint="default" w:ascii="Times New Roman" w:hAnsi="Times New Roman" w:eastAsia="仿宋_GB2312" w:cs="Times New Roman"/>
          <w:color w:val="auto"/>
          <w:kern w:val="0"/>
          <w:sz w:val="36"/>
          <w:szCs w:val="36"/>
        </w:rPr>
        <w:t>项目名称：资产清查及资产核销专项业务</w:t>
      </w:r>
    </w:p>
    <w:p>
      <w:pPr>
        <w:spacing w:line="700" w:lineRule="exact"/>
        <w:ind w:left="1436" w:leftChars="684" w:firstLine="0" w:firstLineChars="0"/>
        <w:jc w:val="left"/>
        <w:rPr>
          <w:rFonts w:hint="default" w:ascii="Times New Roman" w:hAnsi="Times New Roman" w:eastAsia="仿宋_GB2312" w:cs="Times New Roman"/>
          <w:color w:val="auto"/>
          <w:kern w:val="0"/>
          <w:sz w:val="36"/>
          <w:szCs w:val="36"/>
          <w:lang w:val="en-US" w:eastAsia="zh-CN"/>
        </w:rPr>
      </w:pPr>
      <w:r>
        <w:rPr>
          <w:rFonts w:hint="default" w:ascii="Times New Roman" w:hAnsi="Times New Roman" w:eastAsia="仿宋_GB2312" w:cs="Times New Roman"/>
          <w:color w:val="auto"/>
          <w:kern w:val="0"/>
          <w:sz w:val="36"/>
          <w:szCs w:val="36"/>
        </w:rPr>
        <w:t>实施单位（公章）：</w:t>
      </w:r>
      <w:r>
        <w:rPr>
          <w:rFonts w:hint="default" w:ascii="Times New Roman" w:hAnsi="Times New Roman" w:eastAsia="仿宋_GB2312" w:cs="Times New Roman"/>
          <w:color w:val="auto"/>
          <w:kern w:val="0"/>
          <w:sz w:val="36"/>
          <w:szCs w:val="36"/>
          <w:lang w:val="en-US" w:eastAsia="zh-CN"/>
        </w:rPr>
        <w:t>塔城地区无线电管理局</w:t>
      </w:r>
    </w:p>
    <w:p>
      <w:pPr>
        <w:spacing w:line="700" w:lineRule="exact"/>
        <w:ind w:left="1436" w:leftChars="684" w:firstLine="0" w:firstLineChars="0"/>
        <w:jc w:val="left"/>
        <w:rPr>
          <w:rFonts w:hint="default" w:ascii="Times New Roman" w:hAnsi="Times New Roman" w:eastAsia="仿宋_GB2312" w:cs="Times New Roman"/>
          <w:color w:val="auto"/>
          <w:kern w:val="0"/>
          <w:sz w:val="36"/>
          <w:szCs w:val="36"/>
          <w:lang w:val="en-US" w:eastAsia="zh-CN"/>
        </w:rPr>
      </w:pPr>
      <w:r>
        <w:rPr>
          <w:rFonts w:hint="default" w:ascii="Times New Roman" w:hAnsi="Times New Roman" w:eastAsia="仿宋_GB2312" w:cs="Times New Roman"/>
          <w:color w:val="auto"/>
          <w:kern w:val="0"/>
          <w:sz w:val="36"/>
          <w:szCs w:val="36"/>
        </w:rPr>
        <w:t>项目负责人（签章）：</w:t>
      </w:r>
      <w:r>
        <w:rPr>
          <w:rFonts w:hint="default" w:ascii="Times New Roman" w:hAnsi="Times New Roman" w:eastAsia="仿宋_GB2312" w:cs="Times New Roman"/>
          <w:color w:val="auto"/>
          <w:kern w:val="0"/>
          <w:sz w:val="36"/>
          <w:szCs w:val="36"/>
          <w:lang w:val="en-US" w:eastAsia="zh-CN"/>
        </w:rPr>
        <w:t>任仕川</w:t>
      </w:r>
    </w:p>
    <w:p>
      <w:pPr>
        <w:spacing w:line="700" w:lineRule="exact"/>
        <w:ind w:firstLine="1440" w:firstLineChars="400"/>
        <w:jc w:val="left"/>
        <w:rPr>
          <w:rFonts w:hint="default" w:ascii="Times New Roman" w:hAnsi="Times New Roman" w:eastAsia="仿宋_GB2312" w:cs="Times New Roman"/>
          <w:color w:val="auto"/>
          <w:kern w:val="0"/>
          <w:sz w:val="36"/>
          <w:szCs w:val="36"/>
        </w:rPr>
      </w:pPr>
      <w:r>
        <w:rPr>
          <w:rFonts w:hint="default" w:ascii="Times New Roman" w:hAnsi="Times New Roman" w:eastAsia="仿宋_GB2312" w:cs="Times New Roman"/>
          <w:color w:val="auto"/>
          <w:kern w:val="0"/>
          <w:sz w:val="36"/>
          <w:szCs w:val="36"/>
        </w:rPr>
        <w:t>填报时间：</w:t>
      </w:r>
      <w:r>
        <w:rPr>
          <w:rFonts w:hint="default" w:ascii="Times New Roman" w:hAnsi="Times New Roman" w:eastAsia="仿宋_GB2312" w:cs="Times New Roman"/>
          <w:color w:val="auto"/>
          <w:kern w:val="0"/>
          <w:sz w:val="36"/>
          <w:szCs w:val="36"/>
          <w:lang w:val="en-US" w:eastAsia="zh-CN"/>
        </w:rPr>
        <w:t>2025</w:t>
      </w:r>
      <w:r>
        <w:rPr>
          <w:rFonts w:hint="default" w:ascii="Times New Roman" w:hAnsi="Times New Roman" w:eastAsia="仿宋_GB2312" w:cs="Times New Roman"/>
          <w:color w:val="auto"/>
          <w:kern w:val="0"/>
          <w:sz w:val="36"/>
          <w:szCs w:val="36"/>
        </w:rPr>
        <w:t>年</w:t>
      </w:r>
      <w:r>
        <w:rPr>
          <w:rFonts w:hint="default" w:ascii="Times New Roman" w:hAnsi="Times New Roman" w:eastAsia="仿宋_GB2312" w:cs="Times New Roman"/>
          <w:color w:val="auto"/>
          <w:kern w:val="0"/>
          <w:sz w:val="36"/>
          <w:szCs w:val="36"/>
          <w:lang w:val="en-US" w:eastAsia="zh-CN"/>
        </w:rPr>
        <w:t>3</w:t>
      </w:r>
      <w:r>
        <w:rPr>
          <w:rFonts w:hint="default" w:ascii="Times New Roman" w:hAnsi="Times New Roman" w:eastAsia="仿宋_GB2312" w:cs="Times New Roman"/>
          <w:color w:val="auto"/>
          <w:kern w:val="0"/>
          <w:sz w:val="36"/>
          <w:szCs w:val="36"/>
        </w:rPr>
        <w:t>月</w:t>
      </w:r>
      <w:r>
        <w:rPr>
          <w:rFonts w:hint="default" w:ascii="Times New Roman" w:hAnsi="Times New Roman" w:eastAsia="仿宋_GB2312" w:cs="Times New Roman"/>
          <w:color w:val="auto"/>
          <w:kern w:val="0"/>
          <w:sz w:val="36"/>
          <w:szCs w:val="36"/>
          <w:lang w:val="en-US" w:eastAsia="zh-CN"/>
        </w:rPr>
        <w:t>13</w:t>
      </w:r>
      <w:r>
        <w:rPr>
          <w:rFonts w:hint="default" w:ascii="Times New Roman" w:hAnsi="Times New Roman" w:eastAsia="仿宋_GB2312" w:cs="Times New Roman"/>
          <w:color w:val="auto"/>
          <w:kern w:val="0"/>
          <w:sz w:val="36"/>
          <w:szCs w:val="36"/>
        </w:rPr>
        <w:t>日</w:t>
      </w:r>
    </w:p>
    <w:p>
      <w:pPr>
        <w:spacing w:line="540" w:lineRule="exact"/>
        <w:jc w:val="center"/>
        <w:rPr>
          <w:rFonts w:hint="default" w:ascii="Times New Roman" w:hAnsi="Times New Roman" w:eastAsia="仿宋_GB2312" w:cs="Times New Roman"/>
          <w:color w:val="auto"/>
          <w:kern w:val="0"/>
          <w:sz w:val="30"/>
          <w:szCs w:val="30"/>
        </w:rPr>
      </w:pPr>
    </w:p>
    <w:p>
      <w:pPr>
        <w:spacing w:line="540" w:lineRule="exact"/>
        <w:rPr>
          <w:rStyle w:val="18"/>
          <w:rFonts w:hint="default" w:ascii="Times New Roman" w:hAnsi="Times New Roman" w:eastAsia="黑体" w:cs="Times New Roman"/>
          <w:b w:val="0"/>
          <w:color w:val="auto"/>
          <w:spacing w:val="-4"/>
          <w:sz w:val="32"/>
          <w:szCs w:val="32"/>
        </w:rPr>
      </w:pPr>
    </w:p>
    <w:p>
      <w:pPr>
        <w:spacing w:line="540" w:lineRule="exact"/>
        <w:ind w:firstLine="640"/>
        <w:rPr>
          <w:rStyle w:val="18"/>
          <w:rFonts w:hint="default" w:ascii="Times New Roman" w:hAnsi="Times New Roman" w:eastAsia="黑体" w:cs="Times New Roman"/>
          <w:b w:val="0"/>
          <w:color w:val="auto"/>
          <w:spacing w:val="-4"/>
          <w:sz w:val="32"/>
          <w:szCs w:val="32"/>
        </w:rPr>
      </w:pPr>
    </w:p>
    <w:p>
      <w:pPr>
        <w:spacing w:line="540" w:lineRule="exact"/>
        <w:rPr>
          <w:rStyle w:val="18"/>
          <w:rFonts w:hint="default" w:ascii="Times New Roman" w:hAnsi="Times New Roman" w:eastAsia="黑体" w:cs="Times New Roman"/>
          <w:b w:val="0"/>
          <w:color w:val="auto"/>
          <w:spacing w:val="-4"/>
          <w:sz w:val="32"/>
          <w:szCs w:val="32"/>
        </w:rPr>
      </w:pPr>
    </w:p>
    <w:p>
      <w:pPr>
        <w:spacing w:line="560" w:lineRule="exact"/>
        <w:ind w:firstLine="640" w:firstLineChars="200"/>
        <w:rPr>
          <w:rFonts w:hint="default" w:ascii="Times New Roman" w:hAnsi="Times New Roman" w:eastAsia="黑体" w:cs="Times New Roman"/>
          <w:bCs/>
          <w:color w:val="auto"/>
          <w:sz w:val="32"/>
          <w:szCs w:val="32"/>
        </w:rPr>
        <w:sectPr>
          <w:pgSz w:w="11906" w:h="16838"/>
          <w:pgMar w:top="1440" w:right="1558" w:bottom="1440" w:left="1800" w:header="851" w:footer="992" w:gutter="0"/>
          <w:cols w:space="425" w:num="1"/>
          <w:docGrid w:type="lines" w:linePitch="312" w:charSpace="0"/>
        </w:sectPr>
      </w:pPr>
    </w:p>
    <w:p>
      <w:pPr>
        <w:spacing w:line="560" w:lineRule="exact"/>
        <w:ind w:firstLine="640" w:firstLineChars="200"/>
        <w:rPr>
          <w:rFonts w:hint="default" w:ascii="Times New Roman" w:hAnsi="Times New Roman" w:eastAsia="黑体" w:cs="Times New Roman"/>
          <w:bCs/>
          <w:color w:val="auto"/>
          <w:sz w:val="32"/>
          <w:szCs w:val="32"/>
        </w:rPr>
      </w:pPr>
      <w:r>
        <w:rPr>
          <w:rFonts w:hint="default" w:ascii="Times New Roman" w:hAnsi="Times New Roman" w:eastAsia="黑体" w:cs="Times New Roman"/>
          <w:bCs/>
          <w:color w:val="auto"/>
          <w:sz w:val="32"/>
          <w:szCs w:val="32"/>
        </w:rPr>
        <w:t>一、基本情况</w:t>
      </w:r>
    </w:p>
    <w:p>
      <w:pPr>
        <w:spacing w:line="560" w:lineRule="exact"/>
        <w:ind w:firstLine="643" w:firstLineChars="200"/>
        <w:rPr>
          <w:rFonts w:hint="default" w:ascii="Times New Roman" w:hAnsi="Times New Roman" w:eastAsia="楷体_GB2312" w:cs="Times New Roman"/>
          <w:b/>
          <w:bCs/>
          <w:color w:val="auto"/>
          <w:sz w:val="32"/>
          <w:szCs w:val="32"/>
        </w:rPr>
      </w:pPr>
      <w:r>
        <w:rPr>
          <w:rFonts w:hint="default" w:ascii="Times New Roman" w:hAnsi="Times New Roman" w:eastAsia="楷体_GB2312" w:cs="Times New Roman"/>
          <w:b/>
          <w:bCs/>
          <w:color w:val="auto"/>
          <w:sz w:val="32"/>
          <w:szCs w:val="32"/>
        </w:rPr>
        <w:t>（一）项目概况</w:t>
      </w:r>
    </w:p>
    <w:p>
      <w:pPr>
        <w:spacing w:line="560" w:lineRule="exact"/>
        <w:ind w:firstLine="643" w:firstLineChars="200"/>
        <w:rPr>
          <w:rFonts w:hint="default" w:ascii="Times New Roman" w:hAnsi="Times New Roman" w:eastAsia="仿宋_GB2312" w:cs="Times New Roman"/>
          <w:b/>
          <w:bCs/>
          <w:color w:val="auto"/>
          <w:sz w:val="32"/>
          <w:szCs w:val="32"/>
        </w:rPr>
      </w:pPr>
      <w:r>
        <w:rPr>
          <w:rFonts w:hint="default" w:ascii="Times New Roman" w:hAnsi="Times New Roman" w:eastAsia="仿宋_GB2312" w:cs="Times New Roman"/>
          <w:b/>
          <w:bCs/>
          <w:color w:val="auto"/>
          <w:sz w:val="32"/>
          <w:szCs w:val="32"/>
        </w:rPr>
        <w:t>1</w:t>
      </w:r>
      <w:r>
        <w:rPr>
          <w:rFonts w:hint="default" w:ascii="Times New Roman" w:hAnsi="Times New Roman" w:eastAsia="仿宋_GB2312" w:cs="Times New Roman"/>
          <w:b/>
          <w:bCs/>
          <w:color w:val="auto"/>
          <w:sz w:val="32"/>
          <w:szCs w:val="32"/>
          <w:lang w:val="en-US" w:eastAsia="zh-CN"/>
        </w:rPr>
        <w:t>.</w:t>
      </w:r>
      <w:r>
        <w:rPr>
          <w:rFonts w:hint="default" w:ascii="Times New Roman" w:hAnsi="Times New Roman" w:eastAsia="仿宋_GB2312" w:cs="Times New Roman"/>
          <w:b/>
          <w:bCs/>
          <w:color w:val="auto"/>
          <w:sz w:val="32"/>
          <w:szCs w:val="32"/>
        </w:rPr>
        <w:t>项目背景</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val="en-US" w:eastAsia="zh-CN"/>
        </w:rPr>
        <w:t>为进一步加强对国有资产，尤其是固定资产的管理，达到“产权清晰、配置科学、使用合理、处置规范、监督公正”的要求，</w:t>
      </w:r>
      <w:r>
        <w:rPr>
          <w:rFonts w:hint="eastAsia" w:eastAsia="仿宋_GB2312" w:cs="Times New Roman"/>
          <w:color w:val="auto"/>
          <w:sz w:val="32"/>
          <w:szCs w:val="32"/>
          <w:lang w:val="en-US" w:eastAsia="zh-CN"/>
        </w:rPr>
        <w:t>我局申请了</w:t>
      </w:r>
      <w:r>
        <w:rPr>
          <w:rFonts w:hint="default" w:ascii="Times New Roman" w:hAnsi="Times New Roman" w:eastAsia="仿宋_GB2312" w:cs="Times New Roman"/>
          <w:color w:val="auto"/>
          <w:sz w:val="32"/>
          <w:szCs w:val="32"/>
          <w:lang w:val="en-US" w:eastAsia="zh-CN"/>
        </w:rPr>
        <w:t>固定资产清查及资产核销</w:t>
      </w:r>
      <w:r>
        <w:rPr>
          <w:rFonts w:hint="eastAsia" w:eastAsia="仿宋_GB2312" w:cs="Times New Roman"/>
          <w:color w:val="auto"/>
          <w:sz w:val="32"/>
          <w:szCs w:val="32"/>
          <w:lang w:val="en-US" w:eastAsia="zh-CN"/>
        </w:rPr>
        <w:t>项目，</w:t>
      </w:r>
      <w:r>
        <w:rPr>
          <w:rFonts w:hint="default" w:ascii="Times New Roman" w:hAnsi="Times New Roman" w:eastAsia="仿宋_GB2312" w:cs="Times New Roman"/>
          <w:color w:val="auto"/>
          <w:sz w:val="32"/>
          <w:szCs w:val="32"/>
          <w:lang w:val="en-US" w:eastAsia="zh-CN"/>
        </w:rPr>
        <w:t>计划委托专业机构对本单位</w:t>
      </w:r>
      <w:r>
        <w:rPr>
          <w:rFonts w:hint="eastAsia" w:eastAsia="仿宋_GB2312" w:cs="Times New Roman"/>
          <w:color w:val="auto"/>
          <w:sz w:val="32"/>
          <w:szCs w:val="32"/>
          <w:lang w:val="en-US" w:eastAsia="zh-CN"/>
        </w:rPr>
        <w:t>2023年12月31日前</w:t>
      </w:r>
      <w:r>
        <w:rPr>
          <w:rFonts w:hint="default" w:ascii="Times New Roman" w:hAnsi="Times New Roman" w:eastAsia="仿宋_GB2312" w:cs="Times New Roman"/>
          <w:color w:val="auto"/>
          <w:sz w:val="32"/>
          <w:szCs w:val="32"/>
          <w:lang w:val="en-US" w:eastAsia="zh-CN"/>
        </w:rPr>
        <w:t>的资产情况进行全面清理和清查，对部分已达到规定年限的固定资产进行鉴证报废，进一步强化固定资产管理，夯实固定资产管理信息系统数据，推进资产管理与预算管理、财务管理相结合。</w:t>
      </w:r>
    </w:p>
    <w:p>
      <w:pPr>
        <w:pStyle w:val="16"/>
        <w:numPr>
          <w:ilvl w:val="0"/>
          <w:numId w:val="0"/>
        </w:numPr>
        <w:spacing w:before="0" w:after="0" w:line="560" w:lineRule="exact"/>
        <w:ind w:firstLine="643" w:firstLineChars="200"/>
        <w:jc w:val="both"/>
        <w:rPr>
          <w:rFonts w:hint="default" w:ascii="Times New Roman" w:hAnsi="Times New Roman" w:eastAsia="仿宋_GB2312" w:cs="Times New Roman"/>
          <w:color w:val="auto"/>
          <w:kern w:val="2"/>
          <w:lang w:val="en-US" w:eastAsia="zh-CN"/>
        </w:rPr>
      </w:pPr>
      <w:r>
        <w:rPr>
          <w:rFonts w:hint="default" w:ascii="Times New Roman" w:hAnsi="Times New Roman" w:eastAsia="仿宋_GB2312" w:cs="Times New Roman"/>
          <w:color w:val="auto"/>
          <w:kern w:val="2"/>
          <w:lang w:val="en-US" w:eastAsia="zh-CN"/>
        </w:rPr>
        <w:t>2.</w:t>
      </w:r>
      <w:r>
        <w:rPr>
          <w:rFonts w:hint="default" w:ascii="Times New Roman" w:hAnsi="Times New Roman" w:eastAsia="仿宋_GB2312" w:cs="Times New Roman"/>
          <w:color w:val="auto"/>
          <w:kern w:val="2"/>
        </w:rPr>
        <w:t>项目主要内容</w:t>
      </w:r>
      <w:r>
        <w:rPr>
          <w:rFonts w:hint="default" w:ascii="Times New Roman" w:hAnsi="Times New Roman" w:eastAsia="仿宋_GB2312" w:cs="Times New Roman"/>
          <w:color w:val="auto"/>
          <w:kern w:val="2"/>
          <w:lang w:val="en-US" w:eastAsia="zh-CN"/>
        </w:rPr>
        <w:t>及实施情况</w:t>
      </w:r>
    </w:p>
    <w:p>
      <w:pPr>
        <w:spacing w:line="560" w:lineRule="exact"/>
        <w:ind w:firstLine="600" w:firstLineChars="200"/>
        <w:rPr>
          <w:rStyle w:val="18"/>
          <w:rFonts w:hint="eastAsia" w:eastAsia="仿宋_GB2312" w:cs="Times New Roman"/>
          <w:b w:val="0"/>
          <w:bCs/>
          <w:color w:val="auto"/>
          <w:spacing w:val="-4"/>
          <w:sz w:val="32"/>
          <w:szCs w:val="32"/>
          <w:highlight w:val="none"/>
          <w:lang w:eastAsia="zh-CN"/>
        </w:rPr>
      </w:pPr>
      <w:r>
        <w:rPr>
          <w:rFonts w:hint="default" w:ascii="Times New Roman" w:hAnsi="Times New Roman" w:eastAsia="仿宋_GB2312" w:cs="Times New Roman"/>
          <w:color w:val="auto"/>
          <w:sz w:val="30"/>
          <w:szCs w:val="30"/>
          <w:highlight w:val="none"/>
          <w:lang w:val="en-US" w:eastAsia="zh-CN"/>
        </w:rPr>
        <w:t>项目主要内容：</w:t>
      </w:r>
      <w:r>
        <w:rPr>
          <w:rStyle w:val="18"/>
          <w:rFonts w:hint="default" w:ascii="Times New Roman" w:hAnsi="Times New Roman" w:eastAsia="仿宋_GB2312" w:cs="Times New Roman"/>
          <w:b w:val="0"/>
          <w:bCs/>
          <w:color w:val="auto"/>
          <w:spacing w:val="-4"/>
          <w:sz w:val="32"/>
          <w:szCs w:val="32"/>
          <w:highlight w:val="none"/>
        </w:rPr>
        <w:t>全面摸清</w:t>
      </w:r>
      <w:r>
        <w:rPr>
          <w:rStyle w:val="18"/>
          <w:rFonts w:hint="eastAsia" w:eastAsia="仿宋_GB2312" w:cs="Times New Roman"/>
          <w:b w:val="0"/>
          <w:bCs/>
          <w:color w:val="auto"/>
          <w:spacing w:val="-4"/>
          <w:sz w:val="32"/>
          <w:szCs w:val="32"/>
          <w:highlight w:val="none"/>
          <w:lang w:eastAsia="zh-CN"/>
        </w:rPr>
        <w:t>固定资产底数，</w:t>
      </w:r>
      <w:r>
        <w:rPr>
          <w:rStyle w:val="18"/>
          <w:rFonts w:hint="default" w:ascii="Times New Roman" w:hAnsi="Times New Roman" w:eastAsia="仿宋_GB2312" w:cs="Times New Roman"/>
          <w:b w:val="0"/>
          <w:bCs/>
          <w:color w:val="auto"/>
          <w:spacing w:val="-4"/>
          <w:sz w:val="32"/>
          <w:szCs w:val="32"/>
          <w:highlight w:val="none"/>
        </w:rPr>
        <w:t>进一步强化固定资产管理，夯实固定资产管理信息系统数据，推进资产管理与预算管理、财务管理相结合</w:t>
      </w:r>
      <w:r>
        <w:rPr>
          <w:rStyle w:val="18"/>
          <w:rFonts w:hint="eastAsia" w:eastAsia="仿宋_GB2312" w:cs="Times New Roman"/>
          <w:b w:val="0"/>
          <w:bCs/>
          <w:color w:val="auto"/>
          <w:spacing w:val="-4"/>
          <w:sz w:val="32"/>
          <w:szCs w:val="32"/>
          <w:highlight w:val="none"/>
          <w:lang w:eastAsia="zh-CN"/>
        </w:rPr>
        <w:t>。</w:t>
      </w:r>
    </w:p>
    <w:p>
      <w:pPr>
        <w:spacing w:line="560" w:lineRule="exact"/>
        <w:ind w:firstLine="600" w:firstLineChars="200"/>
        <w:rPr>
          <w:rFonts w:hint="default" w:ascii="Times New Roman" w:hAnsi="Times New Roman" w:cs="Times New Roman"/>
          <w:color w:val="auto"/>
        </w:rPr>
      </w:pPr>
      <w:r>
        <w:rPr>
          <w:rFonts w:hint="default" w:ascii="Times New Roman" w:hAnsi="Times New Roman" w:eastAsia="仿宋_GB2312" w:cs="Times New Roman"/>
          <w:color w:val="auto"/>
          <w:sz w:val="30"/>
          <w:szCs w:val="30"/>
          <w:highlight w:val="none"/>
          <w:lang w:val="en-US" w:eastAsia="zh-CN"/>
        </w:rPr>
        <w:t>项目实施情况</w:t>
      </w:r>
      <w:r>
        <w:rPr>
          <w:rFonts w:hint="default" w:ascii="Times New Roman" w:hAnsi="Times New Roman" w:eastAsia="仿宋_GB2312" w:cs="Times New Roman"/>
          <w:color w:val="auto"/>
          <w:sz w:val="32"/>
          <w:szCs w:val="32"/>
        </w:rPr>
        <w:t>：</w:t>
      </w:r>
      <w:r>
        <w:rPr>
          <w:rStyle w:val="18"/>
          <w:rFonts w:hint="default" w:ascii="Times New Roman" w:hAnsi="Times New Roman" w:eastAsia="仿宋_GB2312" w:cs="Times New Roman"/>
          <w:b w:val="0"/>
          <w:bCs/>
          <w:color w:val="auto"/>
          <w:spacing w:val="-4"/>
          <w:sz w:val="32"/>
          <w:szCs w:val="32"/>
          <w:highlight w:val="none"/>
        </w:rPr>
        <w:t>根据上级部门关于进一步加强国有资产管理的相关要求，为全面摸清资产底数、规范固定资产管理、夯实资产信息系统数据基础，我单位于202</w:t>
      </w:r>
      <w:r>
        <w:rPr>
          <w:rStyle w:val="18"/>
          <w:rFonts w:hint="default" w:ascii="Times New Roman" w:hAnsi="Times New Roman" w:eastAsia="仿宋_GB2312" w:cs="Times New Roman"/>
          <w:b w:val="0"/>
          <w:bCs/>
          <w:color w:val="auto"/>
          <w:spacing w:val="-4"/>
          <w:sz w:val="32"/>
          <w:szCs w:val="32"/>
          <w:highlight w:val="none"/>
          <w:lang w:val="en-US" w:eastAsia="zh-CN"/>
        </w:rPr>
        <w:t>4</w:t>
      </w:r>
      <w:r>
        <w:rPr>
          <w:rStyle w:val="18"/>
          <w:rFonts w:hint="default" w:ascii="Times New Roman" w:hAnsi="Times New Roman" w:eastAsia="仿宋_GB2312" w:cs="Times New Roman"/>
          <w:b w:val="0"/>
          <w:bCs/>
          <w:color w:val="auto"/>
          <w:spacing w:val="-4"/>
          <w:sz w:val="32"/>
          <w:szCs w:val="32"/>
          <w:highlight w:val="none"/>
        </w:rPr>
        <w:t>年组织开展了固定资产清查及资产核销专项工作。本次工作以2023年12月31日为基准日，委托专业第三方中介机构，通过实地盘点、账目核对、价值评估、权属确认等方式，对本单位固定资产进行全面梳理，重点核查资产账实相符性、使用状态及核销依据合规性。清查过程中同步完善资产卡片信息，修正系统数据偏差，并对符合报废、毁损或闲置标准的资产，严格履行技术鉴定、价值审核</w:t>
      </w:r>
      <w:r>
        <w:rPr>
          <w:rStyle w:val="18"/>
          <w:rFonts w:hint="default" w:ascii="Times New Roman" w:hAnsi="Times New Roman" w:eastAsia="仿宋_GB2312" w:cs="Times New Roman"/>
          <w:b w:val="0"/>
          <w:bCs/>
          <w:color w:val="auto"/>
          <w:spacing w:val="-4"/>
          <w:sz w:val="32"/>
          <w:szCs w:val="32"/>
          <w:highlight w:val="none"/>
          <w:lang w:val="en-US" w:eastAsia="zh-CN"/>
        </w:rPr>
        <w:t>等程序，依法依规出具资产清查专项报告及经济鉴证专项报告</w:t>
      </w:r>
      <w:r>
        <w:rPr>
          <w:rStyle w:val="18"/>
          <w:rFonts w:hint="default" w:ascii="Times New Roman" w:hAnsi="Times New Roman" w:eastAsia="仿宋_GB2312" w:cs="Times New Roman"/>
          <w:b w:val="0"/>
          <w:bCs/>
          <w:color w:val="auto"/>
          <w:spacing w:val="-4"/>
          <w:sz w:val="32"/>
          <w:szCs w:val="32"/>
          <w:highlight w:val="none"/>
        </w:rPr>
        <w:t>。目前</w:t>
      </w:r>
      <w:r>
        <w:rPr>
          <w:rStyle w:val="18"/>
          <w:rFonts w:hint="default" w:ascii="Times New Roman" w:hAnsi="Times New Roman" w:eastAsia="仿宋_GB2312" w:cs="Times New Roman"/>
          <w:b w:val="0"/>
          <w:bCs/>
          <w:color w:val="auto"/>
          <w:spacing w:val="-4"/>
          <w:sz w:val="32"/>
          <w:szCs w:val="32"/>
          <w:highlight w:val="none"/>
          <w:lang w:val="en-US" w:eastAsia="zh-CN"/>
        </w:rPr>
        <w:t>该</w:t>
      </w:r>
      <w:r>
        <w:rPr>
          <w:rStyle w:val="18"/>
          <w:rFonts w:hint="default" w:ascii="Times New Roman" w:hAnsi="Times New Roman" w:eastAsia="仿宋_GB2312" w:cs="Times New Roman"/>
          <w:b w:val="0"/>
          <w:bCs/>
          <w:color w:val="auto"/>
          <w:spacing w:val="-4"/>
          <w:sz w:val="32"/>
          <w:szCs w:val="32"/>
          <w:highlight w:val="none"/>
        </w:rPr>
        <w:t>项目已顺利完成，累计</w:t>
      </w:r>
      <w:r>
        <w:rPr>
          <w:rStyle w:val="18"/>
          <w:rFonts w:hint="default" w:ascii="Times New Roman" w:hAnsi="Times New Roman" w:eastAsia="仿宋_GB2312" w:cs="Times New Roman"/>
          <w:b w:val="0"/>
          <w:bCs/>
          <w:color w:val="auto"/>
          <w:spacing w:val="-4"/>
          <w:sz w:val="32"/>
          <w:szCs w:val="32"/>
          <w:highlight w:val="none"/>
          <w:lang w:val="en-US" w:eastAsia="zh-CN"/>
        </w:rPr>
        <w:t>清查</w:t>
      </w:r>
      <w:r>
        <w:rPr>
          <w:rStyle w:val="18"/>
          <w:rFonts w:hint="default" w:ascii="Times New Roman" w:hAnsi="Times New Roman" w:eastAsia="仿宋_GB2312" w:cs="Times New Roman"/>
          <w:b w:val="0"/>
          <w:bCs/>
          <w:color w:val="auto"/>
          <w:spacing w:val="-4"/>
          <w:sz w:val="32"/>
          <w:szCs w:val="32"/>
          <w:highlight w:val="none"/>
        </w:rPr>
        <w:t>资产</w:t>
      </w:r>
      <w:r>
        <w:rPr>
          <w:rStyle w:val="18"/>
          <w:rFonts w:hint="default" w:ascii="Times New Roman" w:hAnsi="Times New Roman" w:eastAsia="仿宋_GB2312" w:cs="Times New Roman"/>
          <w:b w:val="0"/>
          <w:bCs/>
          <w:color w:val="auto"/>
          <w:spacing w:val="-4"/>
          <w:sz w:val="32"/>
          <w:szCs w:val="32"/>
          <w:highlight w:val="none"/>
          <w:lang w:val="en-US" w:eastAsia="zh-CN"/>
        </w:rPr>
        <w:t>718</w:t>
      </w:r>
      <w:r>
        <w:rPr>
          <w:rStyle w:val="18"/>
          <w:rFonts w:hint="default" w:ascii="Times New Roman" w:hAnsi="Times New Roman" w:eastAsia="仿宋_GB2312" w:cs="Times New Roman"/>
          <w:b w:val="0"/>
          <w:bCs/>
          <w:color w:val="auto"/>
          <w:spacing w:val="-4"/>
          <w:sz w:val="32"/>
          <w:szCs w:val="32"/>
          <w:highlight w:val="none"/>
        </w:rPr>
        <w:t>‌项（涉及原值</w:t>
      </w:r>
      <w:r>
        <w:rPr>
          <w:rStyle w:val="18"/>
          <w:rFonts w:hint="default" w:ascii="Times New Roman" w:hAnsi="Times New Roman" w:eastAsia="仿宋_GB2312" w:cs="Times New Roman"/>
          <w:b w:val="0"/>
          <w:bCs/>
          <w:color w:val="auto"/>
          <w:spacing w:val="-4"/>
          <w:sz w:val="32"/>
          <w:szCs w:val="32"/>
          <w:highlight w:val="none"/>
          <w:lang w:val="en-US" w:eastAsia="zh-CN"/>
        </w:rPr>
        <w:t>3834.24</w:t>
      </w:r>
      <w:r>
        <w:rPr>
          <w:rStyle w:val="18"/>
          <w:rFonts w:hint="default" w:ascii="Times New Roman" w:hAnsi="Times New Roman" w:eastAsia="仿宋_GB2312" w:cs="Times New Roman"/>
          <w:b w:val="0"/>
          <w:bCs/>
          <w:color w:val="auto"/>
          <w:spacing w:val="-4"/>
          <w:sz w:val="32"/>
          <w:szCs w:val="32"/>
          <w:highlight w:val="none"/>
        </w:rPr>
        <w:t>‌万元），</w:t>
      </w:r>
      <w:r>
        <w:rPr>
          <w:rStyle w:val="18"/>
          <w:rFonts w:hint="default" w:ascii="Times New Roman" w:hAnsi="Times New Roman" w:eastAsia="仿宋_GB2312" w:cs="Times New Roman"/>
          <w:b w:val="0"/>
          <w:bCs/>
          <w:color w:val="auto"/>
          <w:spacing w:val="-4"/>
          <w:sz w:val="32"/>
          <w:szCs w:val="32"/>
          <w:highlight w:val="none"/>
          <w:lang w:val="en-US" w:eastAsia="zh-CN"/>
        </w:rPr>
        <w:t>累计核查待报废</w:t>
      </w:r>
      <w:r>
        <w:rPr>
          <w:rStyle w:val="18"/>
          <w:rFonts w:hint="default" w:ascii="Times New Roman" w:hAnsi="Times New Roman" w:eastAsia="仿宋_GB2312" w:cs="Times New Roman"/>
          <w:b w:val="0"/>
          <w:bCs/>
          <w:color w:val="auto"/>
          <w:spacing w:val="-4"/>
          <w:sz w:val="32"/>
          <w:szCs w:val="32"/>
          <w:highlight w:val="none"/>
        </w:rPr>
        <w:t>资产</w:t>
      </w:r>
      <w:r>
        <w:rPr>
          <w:rStyle w:val="18"/>
          <w:rFonts w:hint="default" w:ascii="Times New Roman" w:hAnsi="Times New Roman" w:eastAsia="仿宋_GB2312" w:cs="Times New Roman"/>
          <w:b w:val="0"/>
          <w:bCs/>
          <w:color w:val="auto"/>
          <w:spacing w:val="-4"/>
          <w:sz w:val="32"/>
          <w:szCs w:val="32"/>
          <w:highlight w:val="none"/>
          <w:lang w:val="en-US" w:eastAsia="zh-CN"/>
        </w:rPr>
        <w:t>25</w:t>
      </w:r>
      <w:r>
        <w:rPr>
          <w:rStyle w:val="18"/>
          <w:rFonts w:hint="default" w:ascii="Times New Roman" w:hAnsi="Times New Roman" w:eastAsia="仿宋_GB2312" w:cs="Times New Roman"/>
          <w:b w:val="0"/>
          <w:bCs/>
          <w:color w:val="auto"/>
          <w:spacing w:val="-4"/>
          <w:sz w:val="32"/>
          <w:szCs w:val="32"/>
          <w:highlight w:val="none"/>
        </w:rPr>
        <w:t>‌项（原值</w:t>
      </w:r>
      <w:r>
        <w:rPr>
          <w:rStyle w:val="18"/>
          <w:rFonts w:hint="default" w:ascii="Times New Roman" w:hAnsi="Times New Roman" w:eastAsia="仿宋_GB2312" w:cs="Times New Roman"/>
          <w:b w:val="0"/>
          <w:bCs/>
          <w:color w:val="auto"/>
          <w:spacing w:val="-4"/>
          <w:sz w:val="32"/>
          <w:szCs w:val="32"/>
          <w:highlight w:val="none"/>
          <w:lang w:val="en-US" w:eastAsia="zh-CN"/>
        </w:rPr>
        <w:t>61.26</w:t>
      </w:r>
      <w:r>
        <w:rPr>
          <w:rStyle w:val="18"/>
          <w:rFonts w:hint="default" w:ascii="Times New Roman" w:hAnsi="Times New Roman" w:eastAsia="仿宋_GB2312" w:cs="Times New Roman"/>
          <w:b w:val="0"/>
          <w:bCs/>
          <w:color w:val="auto"/>
          <w:spacing w:val="-4"/>
          <w:sz w:val="32"/>
          <w:szCs w:val="32"/>
          <w:highlight w:val="none"/>
        </w:rPr>
        <w:t>‌万元），有效提升了</w:t>
      </w:r>
      <w:r>
        <w:rPr>
          <w:rStyle w:val="18"/>
          <w:rFonts w:hint="default" w:ascii="Times New Roman" w:hAnsi="Times New Roman" w:eastAsia="仿宋_GB2312" w:cs="Times New Roman"/>
          <w:b w:val="0"/>
          <w:bCs/>
          <w:color w:val="auto"/>
          <w:spacing w:val="-4"/>
          <w:sz w:val="32"/>
          <w:szCs w:val="32"/>
          <w:highlight w:val="none"/>
          <w:lang w:val="en-US" w:eastAsia="zh-CN"/>
        </w:rPr>
        <w:t>本单位</w:t>
      </w:r>
      <w:r>
        <w:rPr>
          <w:rStyle w:val="18"/>
          <w:rFonts w:hint="default" w:ascii="Times New Roman" w:hAnsi="Times New Roman" w:eastAsia="仿宋_GB2312" w:cs="Times New Roman"/>
          <w:b w:val="0"/>
          <w:bCs/>
          <w:color w:val="auto"/>
          <w:spacing w:val="-4"/>
          <w:sz w:val="32"/>
          <w:szCs w:val="32"/>
          <w:highlight w:val="none"/>
        </w:rPr>
        <w:t>资产信息系统的准确性和资产使用效益，为下一步推进资产管理与预算编制、财务决算有机衔接奠定了坚实基础。我单位将持续完善资产动态管理机制，强化资产全生命周期监管，切实防范“前清后乱”问题。</w:t>
      </w:r>
    </w:p>
    <w:p>
      <w:pPr>
        <w:spacing w:line="560" w:lineRule="exact"/>
        <w:ind w:firstLine="643" w:firstLineChars="200"/>
        <w:rPr>
          <w:rFonts w:hint="default" w:ascii="Times New Roman" w:hAnsi="Times New Roman" w:eastAsia="仿宋_GB2312" w:cs="Times New Roman"/>
          <w:b/>
          <w:bCs/>
          <w:color w:val="auto"/>
          <w:sz w:val="32"/>
          <w:szCs w:val="32"/>
        </w:rPr>
      </w:pPr>
      <w:r>
        <w:rPr>
          <w:rFonts w:hint="default" w:ascii="Times New Roman" w:hAnsi="Times New Roman" w:eastAsia="仿宋_GB2312" w:cs="Times New Roman"/>
          <w:b/>
          <w:bCs/>
          <w:color w:val="auto"/>
          <w:sz w:val="32"/>
          <w:szCs w:val="32"/>
        </w:rPr>
        <w:t>3</w:t>
      </w:r>
      <w:r>
        <w:rPr>
          <w:rFonts w:hint="default" w:ascii="Times New Roman" w:hAnsi="Times New Roman" w:eastAsia="仿宋_GB2312" w:cs="Times New Roman"/>
          <w:b/>
          <w:bCs/>
          <w:color w:val="auto"/>
          <w:sz w:val="32"/>
          <w:szCs w:val="32"/>
          <w:lang w:val="en-US" w:eastAsia="zh-CN"/>
        </w:rPr>
        <w:t>.</w:t>
      </w:r>
      <w:r>
        <w:rPr>
          <w:rFonts w:hint="default" w:ascii="Times New Roman" w:hAnsi="Times New Roman" w:eastAsia="仿宋_GB2312" w:cs="Times New Roman"/>
          <w:b/>
          <w:bCs/>
          <w:color w:val="auto"/>
          <w:sz w:val="32"/>
          <w:szCs w:val="32"/>
        </w:rPr>
        <w:t>资金投入和使用情况</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（1）资金投入情况</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该项目年初预算数10.4万元，全年预算数10.4万元，该项目资金已全部落实到位，资金来源为其他资金。</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（2）资金使用情况</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该项目年初预算数10.4万元，全年预算数10.4万元，全年执行数10.4万元，预算执行率为100%，主要用于：委托中介结构对</w:t>
      </w:r>
      <w:r>
        <w:rPr>
          <w:rStyle w:val="18"/>
          <w:rFonts w:hint="default" w:ascii="Times New Roman" w:hAnsi="Times New Roman" w:eastAsia="仿宋_GB2312" w:cs="Times New Roman"/>
          <w:b w:val="0"/>
          <w:bCs/>
          <w:color w:val="auto"/>
          <w:spacing w:val="-4"/>
          <w:sz w:val="32"/>
          <w:szCs w:val="32"/>
          <w:highlight w:val="none"/>
        </w:rPr>
        <w:t>2023年12月31日</w:t>
      </w:r>
      <w:r>
        <w:rPr>
          <w:rStyle w:val="18"/>
          <w:rFonts w:hint="default" w:ascii="Times New Roman" w:hAnsi="Times New Roman" w:eastAsia="仿宋_GB2312" w:cs="Times New Roman"/>
          <w:b w:val="0"/>
          <w:bCs/>
          <w:color w:val="auto"/>
          <w:spacing w:val="-4"/>
          <w:sz w:val="32"/>
          <w:szCs w:val="32"/>
          <w:highlight w:val="none"/>
          <w:lang w:val="en-US" w:eastAsia="zh-CN"/>
        </w:rPr>
        <w:t>前</w:t>
      </w:r>
      <w:r>
        <w:rPr>
          <w:rFonts w:hint="default" w:ascii="Times New Roman" w:hAnsi="Times New Roman" w:eastAsia="仿宋_GB2312" w:cs="Times New Roman"/>
          <w:color w:val="auto"/>
          <w:sz w:val="32"/>
          <w:szCs w:val="32"/>
          <w:lang w:val="en-US" w:eastAsia="zh-CN"/>
        </w:rPr>
        <w:t>本单位固定资产开展清理清查及资产核销工作</w:t>
      </w:r>
      <w:r>
        <w:rPr>
          <w:rFonts w:hint="default" w:ascii="Times New Roman" w:hAnsi="Times New Roman" w:eastAsia="仿宋_GB2312" w:cs="Times New Roman"/>
          <w:color w:val="auto"/>
          <w:sz w:val="32"/>
          <w:szCs w:val="32"/>
          <w:highlight w:val="none"/>
          <w:lang w:val="en-US" w:eastAsia="zh-CN"/>
        </w:rPr>
        <w:t>。</w:t>
      </w:r>
    </w:p>
    <w:p>
      <w:pPr>
        <w:spacing w:line="560" w:lineRule="exact"/>
        <w:ind w:firstLine="643" w:firstLineChars="200"/>
        <w:rPr>
          <w:rFonts w:hint="default" w:ascii="Times New Roman" w:hAnsi="Times New Roman" w:eastAsia="楷体_GB2312" w:cs="Times New Roman"/>
          <w:b/>
          <w:bCs/>
          <w:color w:val="auto"/>
          <w:sz w:val="32"/>
          <w:szCs w:val="32"/>
        </w:rPr>
      </w:pPr>
      <w:r>
        <w:rPr>
          <w:rFonts w:hint="default" w:ascii="Times New Roman" w:hAnsi="Times New Roman" w:eastAsia="楷体_GB2312" w:cs="Times New Roman"/>
          <w:b/>
          <w:bCs/>
          <w:color w:val="auto"/>
          <w:sz w:val="32"/>
          <w:szCs w:val="32"/>
        </w:rPr>
        <w:t>（二）项目绩效目标</w:t>
      </w:r>
    </w:p>
    <w:p>
      <w:pPr>
        <w:spacing w:line="560" w:lineRule="exact"/>
        <w:ind w:firstLine="640" w:firstLineChars="200"/>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1</w:t>
      </w:r>
      <w:r>
        <w:rPr>
          <w:rFonts w:hint="default" w:ascii="Times New Roman" w:hAnsi="Times New Roman" w:eastAsia="仿宋_GB2312" w:cs="Times New Roman"/>
          <w:b/>
          <w:bCs/>
          <w:color w:val="auto"/>
          <w:sz w:val="32"/>
          <w:szCs w:val="32"/>
          <w:lang w:val="en-US" w:eastAsia="zh-CN"/>
        </w:rPr>
        <w:t>.</w:t>
      </w:r>
      <w:r>
        <w:rPr>
          <w:rFonts w:hint="default" w:ascii="Times New Roman" w:hAnsi="Times New Roman" w:eastAsia="仿宋_GB2312" w:cs="Times New Roman"/>
          <w:color w:val="auto"/>
          <w:sz w:val="32"/>
          <w:szCs w:val="32"/>
        </w:rPr>
        <w:t>总体目标</w:t>
      </w:r>
    </w:p>
    <w:p>
      <w:pPr>
        <w:spacing w:line="560" w:lineRule="exact"/>
        <w:ind w:firstLine="624" w:firstLineChars="200"/>
        <w:rPr>
          <w:rStyle w:val="18"/>
          <w:rFonts w:hint="default" w:ascii="Times New Roman" w:hAnsi="Times New Roman" w:eastAsia="仿宋_GB2312" w:cs="Times New Roman"/>
          <w:b w:val="0"/>
          <w:bCs/>
          <w:color w:val="auto"/>
          <w:spacing w:val="-4"/>
          <w:sz w:val="32"/>
          <w:szCs w:val="32"/>
          <w:highlight w:val="none"/>
        </w:rPr>
      </w:pPr>
      <w:r>
        <w:rPr>
          <w:rStyle w:val="18"/>
          <w:rFonts w:hint="default" w:ascii="Times New Roman" w:hAnsi="Times New Roman" w:eastAsia="仿宋_GB2312" w:cs="Times New Roman"/>
          <w:b w:val="0"/>
          <w:bCs/>
          <w:color w:val="auto"/>
          <w:spacing w:val="-4"/>
          <w:sz w:val="32"/>
          <w:szCs w:val="32"/>
          <w:highlight w:val="none"/>
        </w:rPr>
        <w:t xml:space="preserve"> 为了全面摸清家底,进一步强化</w:t>
      </w:r>
      <w:bookmarkStart w:id="3" w:name="_GoBack"/>
      <w:bookmarkEnd w:id="3"/>
      <w:r>
        <w:rPr>
          <w:rStyle w:val="18"/>
          <w:rFonts w:hint="default" w:ascii="Times New Roman" w:hAnsi="Times New Roman" w:eastAsia="仿宋_GB2312" w:cs="Times New Roman"/>
          <w:b w:val="0"/>
          <w:bCs/>
          <w:color w:val="auto"/>
          <w:spacing w:val="-4"/>
          <w:sz w:val="32"/>
          <w:szCs w:val="32"/>
          <w:highlight w:val="none"/>
        </w:rPr>
        <w:t>固定资产管理，夯实固定资产管理信息系统数据，推进资产管理与预算管理、财务管理相结合，委托中介机构对</w:t>
      </w:r>
      <w:r>
        <w:rPr>
          <w:rStyle w:val="18"/>
          <w:rFonts w:hint="default" w:ascii="Times New Roman" w:hAnsi="Times New Roman" w:eastAsia="仿宋_GB2312" w:cs="Times New Roman"/>
          <w:b w:val="0"/>
          <w:bCs/>
          <w:color w:val="auto"/>
          <w:spacing w:val="-4"/>
          <w:sz w:val="32"/>
          <w:szCs w:val="32"/>
          <w:highlight w:val="none"/>
          <w:lang w:val="en-US" w:eastAsia="zh-CN"/>
        </w:rPr>
        <w:t>截至</w:t>
      </w:r>
      <w:r>
        <w:rPr>
          <w:rStyle w:val="18"/>
          <w:rFonts w:hint="default" w:ascii="Times New Roman" w:hAnsi="Times New Roman" w:eastAsia="仿宋_GB2312" w:cs="Times New Roman"/>
          <w:b w:val="0"/>
          <w:bCs/>
          <w:color w:val="auto"/>
          <w:spacing w:val="-4"/>
          <w:sz w:val="32"/>
          <w:szCs w:val="32"/>
          <w:highlight w:val="none"/>
        </w:rPr>
        <w:t>2023年12月31日前固定资产开展清查审计工作。</w:t>
      </w:r>
    </w:p>
    <w:p>
      <w:pPr>
        <w:spacing w:line="560" w:lineRule="exact"/>
        <w:ind w:firstLine="640" w:firstLineChars="200"/>
        <w:rPr>
          <w:rFonts w:hint="default" w:ascii="Times New Roman" w:hAnsi="Times New Roman" w:eastAsia="仿宋_GB2312" w:cs="Times New Roman"/>
          <w:color w:val="auto"/>
          <w:sz w:val="30"/>
          <w:szCs w:val="30"/>
          <w:highlight w:val="none"/>
          <w:lang w:val="en-US" w:eastAsia="zh-CN"/>
        </w:rPr>
      </w:pPr>
      <w:r>
        <w:rPr>
          <w:rFonts w:hint="default" w:ascii="Times New Roman" w:hAnsi="Times New Roman" w:eastAsia="仿宋_GB2312" w:cs="Times New Roman"/>
          <w:color w:val="auto"/>
          <w:sz w:val="32"/>
          <w:szCs w:val="32"/>
        </w:rPr>
        <w:t>2</w:t>
      </w:r>
      <w:r>
        <w:rPr>
          <w:rFonts w:hint="default" w:ascii="Times New Roman" w:hAnsi="Times New Roman" w:eastAsia="仿宋_GB2312" w:cs="Times New Roman"/>
          <w:b/>
          <w:bCs/>
          <w:color w:val="auto"/>
          <w:sz w:val="32"/>
          <w:szCs w:val="32"/>
          <w:lang w:val="en-US" w:eastAsia="zh-CN"/>
        </w:rPr>
        <w:t>.</w:t>
      </w:r>
      <w:r>
        <w:rPr>
          <w:rFonts w:hint="default" w:ascii="Times New Roman" w:hAnsi="Times New Roman" w:eastAsia="仿宋_GB2312" w:cs="Times New Roman"/>
          <w:color w:val="auto"/>
          <w:sz w:val="32"/>
          <w:szCs w:val="32"/>
        </w:rPr>
        <w:t>阶段性目标</w:t>
      </w:r>
    </w:p>
    <w:p>
      <w:pPr>
        <w:spacing w:line="560" w:lineRule="exact"/>
        <w:ind w:firstLine="640" w:firstLineChars="200"/>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项目</w:t>
      </w:r>
      <w:r>
        <w:rPr>
          <w:rFonts w:hint="default" w:ascii="Times New Roman" w:hAnsi="Times New Roman" w:eastAsia="仿宋_GB2312" w:cs="Times New Roman"/>
          <w:color w:val="auto"/>
          <w:sz w:val="32"/>
          <w:szCs w:val="32"/>
          <w:lang w:val="en-US" w:eastAsia="zh-CN"/>
        </w:rPr>
        <w:t>筹备</w:t>
      </w:r>
      <w:r>
        <w:rPr>
          <w:rFonts w:hint="default" w:ascii="Times New Roman" w:hAnsi="Times New Roman" w:eastAsia="仿宋_GB2312" w:cs="Times New Roman"/>
          <w:color w:val="auto"/>
          <w:sz w:val="32"/>
          <w:szCs w:val="32"/>
        </w:rPr>
        <w:t>阶段：</w:t>
      </w:r>
      <w:r>
        <w:rPr>
          <w:rFonts w:hint="default" w:ascii="Times New Roman" w:hAnsi="Times New Roman" w:eastAsia="仿宋_GB2312" w:cs="Times New Roman"/>
          <w:color w:val="auto"/>
          <w:sz w:val="32"/>
          <w:szCs w:val="32"/>
          <w:lang w:val="en-US" w:eastAsia="zh-CN"/>
        </w:rPr>
        <w:t>成立项目执行小组，</w:t>
      </w:r>
      <w:r>
        <w:rPr>
          <w:rFonts w:hint="default" w:ascii="Times New Roman" w:hAnsi="Times New Roman" w:eastAsia="仿宋_GB2312" w:cs="Times New Roman"/>
          <w:color w:val="auto"/>
          <w:sz w:val="32"/>
          <w:szCs w:val="32"/>
        </w:rPr>
        <w:t>梳理资产清查及核销工作流程，制定详细工作计划表。完成政府采购意向公开，确保信息透明、合规。同时，着手准备政府采购计划申报材料，为后续选定中介机构奠定基础。</w:t>
      </w:r>
    </w:p>
    <w:p>
      <w:pPr>
        <w:spacing w:line="560" w:lineRule="exact"/>
        <w:ind w:firstLine="640" w:firstLineChars="200"/>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val="en-US" w:eastAsia="zh-CN"/>
        </w:rPr>
        <w:t>中介机构选定阶段：</w:t>
      </w:r>
      <w:r>
        <w:rPr>
          <w:rFonts w:hint="default" w:ascii="Times New Roman" w:hAnsi="Times New Roman" w:eastAsia="仿宋_GB2312" w:cs="Times New Roman"/>
          <w:color w:val="auto"/>
          <w:kern w:val="2"/>
          <w:sz w:val="32"/>
          <w:szCs w:val="32"/>
          <w:lang w:val="en-US" w:eastAsia="zh-CN" w:bidi="ar-SA"/>
        </w:rPr>
        <w:t>严格按流程完成政府采购计划申报，通过竞争性磋商的政府采购方式，由</w:t>
      </w:r>
      <w:r>
        <w:rPr>
          <w:rFonts w:hint="default" w:ascii="Times New Roman" w:hAnsi="Times New Roman" w:eastAsia="仿宋_GB2312" w:cs="Times New Roman"/>
          <w:color w:val="auto"/>
          <w:sz w:val="32"/>
          <w:szCs w:val="32"/>
          <w:lang w:val="en-US" w:eastAsia="zh-CN"/>
        </w:rPr>
        <w:t>第三方招标公司组织竞争性磋商评审，</w:t>
      </w:r>
      <w:r>
        <w:rPr>
          <w:rFonts w:hint="default" w:ascii="Times New Roman" w:hAnsi="Times New Roman" w:eastAsia="仿宋_GB2312" w:cs="Times New Roman"/>
          <w:color w:val="auto"/>
          <w:kern w:val="2"/>
          <w:sz w:val="32"/>
          <w:szCs w:val="32"/>
          <w:lang w:val="en-US" w:eastAsia="zh-CN" w:bidi="ar-SA"/>
        </w:rPr>
        <w:t>公开、公平、公正地选定资质优良、经验丰富的中介机构。</w:t>
      </w:r>
      <w:r>
        <w:rPr>
          <w:rFonts w:hint="default" w:ascii="Times New Roman" w:hAnsi="Times New Roman" w:eastAsia="仿宋_GB2312" w:cs="Times New Roman"/>
          <w:color w:val="auto"/>
          <w:sz w:val="32"/>
          <w:szCs w:val="32"/>
          <w:lang w:val="en-US" w:eastAsia="zh-CN"/>
        </w:rPr>
        <w:t>重点考察入围机构资质、项目经验及项目方案，选定新疆驰远天合有限责任会计师事务所为此次项目的审计机构，</w:t>
      </w:r>
      <w:r>
        <w:rPr>
          <w:rFonts w:hint="default" w:ascii="Times New Roman" w:hAnsi="Times New Roman" w:eastAsia="仿宋_GB2312" w:cs="Times New Roman"/>
          <w:color w:val="auto"/>
          <w:kern w:val="2"/>
          <w:sz w:val="32"/>
          <w:szCs w:val="32"/>
          <w:lang w:val="en-US" w:eastAsia="zh-CN" w:bidi="ar-SA"/>
        </w:rPr>
        <w:t>完成合同签订，明确双方权利义务及项目要求、时间节点等关键内容。</w:t>
      </w:r>
    </w:p>
    <w:p>
      <w:pPr>
        <w:spacing w:line="560" w:lineRule="exact"/>
        <w:ind w:firstLine="640" w:firstLineChars="200"/>
        <w:rPr>
          <w:rFonts w:hint="default" w:ascii="Times New Roman" w:hAnsi="Times New Roman" w:eastAsia="仿宋_GB2312" w:cs="Times New Roman"/>
          <w:color w:val="auto"/>
          <w:kern w:val="2"/>
          <w:sz w:val="32"/>
          <w:szCs w:val="32"/>
          <w:lang w:val="en-US" w:eastAsia="zh-CN" w:bidi="ar-SA"/>
        </w:rPr>
      </w:pPr>
      <w:r>
        <w:rPr>
          <w:rFonts w:hint="default" w:ascii="Times New Roman" w:hAnsi="Times New Roman" w:eastAsia="仿宋_GB2312" w:cs="Times New Roman"/>
          <w:color w:val="auto"/>
          <w:sz w:val="32"/>
          <w:szCs w:val="32"/>
          <w:lang w:val="en-US" w:eastAsia="zh-CN"/>
        </w:rPr>
        <w:t>项目执行阶段：中介机构按合同约定正式入驻单位，开展全面资产清查工作。对截至2023年12月31日前的固定资产逐一核查，详细记录资产信息，包括名称、规格、购置时间、使用状况等，确保清查覆盖率达 100%。同时，初步甄别拟核销资产，收集</w:t>
      </w:r>
      <w:r>
        <w:rPr>
          <w:rFonts w:hint="default" w:ascii="Times New Roman" w:hAnsi="Times New Roman" w:eastAsia="仿宋_GB2312" w:cs="Times New Roman"/>
          <w:color w:val="auto"/>
          <w:kern w:val="2"/>
          <w:sz w:val="32"/>
          <w:szCs w:val="32"/>
          <w:lang w:val="en-US" w:eastAsia="zh-CN" w:bidi="ar-SA"/>
        </w:rPr>
        <w:t>相关证明材料。依据清查结果，对符合核销条件的资产进行分类整理，期间不断完善固定资产管理信息系统数据，推进资产管理与预算、财务管理融合。</w:t>
      </w:r>
    </w:p>
    <w:p>
      <w:pPr>
        <w:spacing w:line="560" w:lineRule="exact"/>
        <w:ind w:firstLine="640" w:firstLineChars="200"/>
        <w:rPr>
          <w:rFonts w:hint="default" w:ascii="Times New Roman" w:hAnsi="Times New Roman" w:cs="Times New Roman"/>
          <w:color w:val="auto"/>
          <w:lang w:val="en-US" w:eastAsia="zh-CN"/>
        </w:rPr>
      </w:pPr>
      <w:r>
        <w:rPr>
          <w:rFonts w:hint="default" w:ascii="Times New Roman" w:hAnsi="Times New Roman" w:eastAsia="仿宋_GB2312" w:cs="Times New Roman"/>
          <w:color w:val="auto"/>
          <w:kern w:val="2"/>
          <w:sz w:val="32"/>
          <w:szCs w:val="32"/>
          <w:lang w:val="en-US" w:eastAsia="zh-CN" w:bidi="ar-SA"/>
        </w:rPr>
        <w:t>项目收尾阶段：中介机构依据既定工作流程与质量标准，全面完成资产清查及核销工作，认真负责</w:t>
      </w:r>
      <w:r>
        <w:rPr>
          <w:rFonts w:hint="eastAsia" w:eastAsia="仿宋_GB2312" w:cs="Times New Roman"/>
          <w:color w:val="auto"/>
          <w:kern w:val="2"/>
          <w:sz w:val="32"/>
          <w:szCs w:val="32"/>
          <w:lang w:val="en-US" w:eastAsia="zh-CN" w:bidi="ar-SA"/>
        </w:rPr>
        <w:t>地</w:t>
      </w:r>
      <w:r>
        <w:rPr>
          <w:rFonts w:hint="default" w:ascii="Times New Roman" w:hAnsi="Times New Roman" w:eastAsia="仿宋_GB2312" w:cs="Times New Roman"/>
          <w:color w:val="auto"/>
          <w:kern w:val="2"/>
          <w:sz w:val="32"/>
          <w:szCs w:val="32"/>
          <w:lang w:val="en-US" w:eastAsia="zh-CN" w:bidi="ar-SA"/>
        </w:rPr>
        <w:t>出具资产清查及资产核销报告。该报告内容详实，涵盖资产类别、数量、购置时间、使用状况、核销依据及处理结果等关键信息，数据准确可靠，具备参考价值。随后，项目执行小组成员对报告展开多轮细致复核，通过资料比对、数据复核以及实地抽查等方式，确保报告内容完整无缺，各项数据精准无误。经审核无误后，最终正式确定资产清查及资产核销报告，成功达成全面摸清单位家底、强化固定资产管理的总体目标，为单位后续资产管理工作的高效开展筑牢根基 。</w:t>
      </w:r>
    </w:p>
    <w:p>
      <w:pPr>
        <w:spacing w:line="560" w:lineRule="exact"/>
        <w:ind w:firstLine="640" w:firstLineChars="200"/>
        <w:rPr>
          <w:rFonts w:hint="default" w:ascii="Times New Roman" w:hAnsi="Times New Roman" w:eastAsia="黑体" w:cs="Times New Roman"/>
          <w:color w:val="auto"/>
          <w:sz w:val="32"/>
          <w:szCs w:val="32"/>
        </w:rPr>
      </w:pPr>
      <w:r>
        <w:rPr>
          <w:rFonts w:hint="default" w:ascii="Times New Roman" w:hAnsi="Times New Roman" w:eastAsia="黑体" w:cs="Times New Roman"/>
          <w:color w:val="auto"/>
          <w:sz w:val="32"/>
          <w:szCs w:val="32"/>
        </w:rPr>
        <w:t>二、绩效评价工作开展情况</w:t>
      </w:r>
    </w:p>
    <w:p>
      <w:pPr>
        <w:spacing w:line="560" w:lineRule="exact"/>
        <w:ind w:firstLine="643" w:firstLineChars="200"/>
        <w:rPr>
          <w:rFonts w:hint="default" w:ascii="Times New Roman" w:hAnsi="Times New Roman" w:eastAsia="楷体_GB2312" w:cs="Times New Roman"/>
          <w:b/>
          <w:bCs/>
          <w:color w:val="auto"/>
          <w:sz w:val="32"/>
          <w:szCs w:val="32"/>
        </w:rPr>
      </w:pPr>
      <w:r>
        <w:rPr>
          <w:rFonts w:hint="default" w:ascii="Times New Roman" w:hAnsi="Times New Roman" w:eastAsia="楷体_GB2312" w:cs="Times New Roman"/>
          <w:b/>
          <w:bCs/>
          <w:color w:val="auto"/>
          <w:sz w:val="32"/>
          <w:szCs w:val="32"/>
        </w:rPr>
        <w:t>（一）绩效评价目的、对象和范围</w:t>
      </w:r>
    </w:p>
    <w:p>
      <w:pPr>
        <w:pStyle w:val="16"/>
        <w:widowControl w:val="0"/>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lang w:val="en-US" w:eastAsia="zh-CN"/>
        </w:rPr>
      </w:pPr>
      <w:r>
        <w:rPr>
          <w:rFonts w:hint="default" w:ascii="Times New Roman" w:hAnsi="Times New Roman" w:eastAsia="仿宋_GB2312" w:cs="Times New Roman"/>
          <w:b w:val="0"/>
          <w:bCs w:val="0"/>
          <w:color w:val="auto"/>
          <w:highlight w:val="none"/>
          <w:lang w:val="en-US" w:eastAsia="zh-CN"/>
        </w:rPr>
        <w:t>1.绩效评价完整性</w:t>
      </w:r>
    </w:p>
    <w:p>
      <w:pPr>
        <w:spacing w:line="560" w:lineRule="exact"/>
        <w:ind w:firstLine="640" w:firstLineChars="20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val="en-US" w:eastAsia="zh-CN"/>
        </w:rPr>
        <w:t>本项目预算绩效评价报告在编制过程中，严格遵循相关法规与标准，确保评价内容的全面性与准确性。报告涵盖了项目从预算编制、执行到完成的全过程，对项目的各项绩效指标进行了细致的梳理与评估。</w:t>
      </w:r>
    </w:p>
    <w:p>
      <w:pPr>
        <w:spacing w:line="560" w:lineRule="exact"/>
        <w:ind w:firstLine="640" w:firstLineChars="20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val="en-US" w:eastAsia="zh-CN"/>
        </w:rPr>
        <w:t>在评价指标体系的构建上，充分考虑了项目的性质、目标以及预期成果，选取了具有代表性和可衡量性的关键指标，涵盖了经济效益指标，力求全方位反映项目的绩效状况。同时，对于每个指标的评价标准和数据来源均进行了明确说明，确保评价结果的客观性和可追溯性。</w:t>
      </w:r>
    </w:p>
    <w:p>
      <w:pPr>
        <w:spacing w:line="560" w:lineRule="exact"/>
        <w:ind w:firstLine="640" w:firstLineChars="20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val="en-US" w:eastAsia="zh-CN"/>
        </w:rPr>
        <w:t>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p>
    <w:p>
      <w:pPr>
        <w:spacing w:line="560" w:lineRule="exact"/>
        <w:ind w:firstLine="640" w:firstLineChars="20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p>
    <w:p>
      <w:pPr>
        <w:spacing w:line="560" w:lineRule="exact"/>
        <w:ind w:firstLine="640" w:firstLineChars="200"/>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lang w:val="en-US" w:eastAsia="zh-CN"/>
        </w:rPr>
        <w:t>2.</w:t>
      </w:r>
      <w:r>
        <w:rPr>
          <w:rFonts w:hint="default" w:ascii="Times New Roman" w:hAnsi="Times New Roman" w:eastAsia="仿宋_GB2312" w:cs="Times New Roman"/>
          <w:color w:val="auto"/>
          <w:sz w:val="32"/>
          <w:szCs w:val="32"/>
        </w:rPr>
        <w:t>绩效评价的目的</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（1）评估项目实施效果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通过对项目预算执行情况及各项绩效目标达成程度的系统性分析，全面、客观地评估项目在预定周期内的实施效果，包括经济效益指标，为项目后续的改进与优化提供科学依据。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（2）提升资源利用效率</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（3）强化项目管理责任</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（4）为决策提供支持</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（5）促进项目持续改进</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color w:val="auto"/>
          <w:sz w:val="32"/>
          <w:szCs w:val="32"/>
          <w:highlight w:val="none"/>
        </w:rPr>
      </w:pPr>
      <w:r>
        <w:rPr>
          <w:rFonts w:hint="default" w:ascii="Times New Roman" w:hAnsi="Times New Roman" w:eastAsia="仿宋_GB2312" w:cs="Times New Roman"/>
          <w:color w:val="auto"/>
          <w:sz w:val="32"/>
          <w:szCs w:val="32"/>
          <w:highlight w:val="none"/>
        </w:rPr>
        <w:t>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p>
    <w:p>
      <w:pPr>
        <w:pStyle w:val="16"/>
        <w:widowControl w:val="0"/>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rPr>
      </w:pPr>
      <w:r>
        <w:rPr>
          <w:rFonts w:hint="default" w:ascii="Times New Roman" w:hAnsi="Times New Roman" w:eastAsia="仿宋_GB2312" w:cs="Times New Roman"/>
          <w:b w:val="0"/>
          <w:bCs w:val="0"/>
          <w:color w:val="auto"/>
          <w:lang w:val="en-US" w:eastAsia="zh-CN"/>
        </w:rPr>
        <w:t>3</w:t>
      </w:r>
      <w:r>
        <w:rPr>
          <w:rFonts w:hint="default" w:ascii="Times New Roman" w:hAnsi="Times New Roman" w:eastAsia="仿宋_GB2312" w:cs="Times New Roman"/>
          <w:b/>
          <w:bCs/>
          <w:color w:val="auto"/>
          <w:sz w:val="32"/>
          <w:szCs w:val="32"/>
          <w:lang w:val="en-US" w:eastAsia="zh-CN"/>
        </w:rPr>
        <w:t>.</w:t>
      </w:r>
      <w:r>
        <w:rPr>
          <w:rFonts w:hint="default" w:ascii="Times New Roman" w:hAnsi="Times New Roman" w:eastAsia="仿宋_GB2312" w:cs="Times New Roman"/>
          <w:b w:val="0"/>
          <w:bCs w:val="0"/>
          <w:color w:val="auto"/>
        </w:rPr>
        <w:t>绩效评价的对象</w:t>
      </w:r>
    </w:p>
    <w:p>
      <w:pPr>
        <w:pStyle w:val="16"/>
        <w:widowControl w:val="0"/>
        <w:spacing w:before="0" w:after="0" w:line="560" w:lineRule="exact"/>
        <w:ind w:firstLine="640" w:firstLineChars="200"/>
        <w:jc w:val="both"/>
        <w:outlineLvl w:val="9"/>
        <w:rPr>
          <w:rFonts w:hint="default" w:ascii="Times New Roman" w:hAnsi="Times New Roman" w:eastAsia="仿宋_GB2312" w:cs="Times New Roman"/>
          <w:b w:val="0"/>
          <w:bCs w:val="0"/>
          <w:color w:val="auto"/>
        </w:rPr>
      </w:pPr>
      <w:r>
        <w:rPr>
          <w:rFonts w:hint="default" w:ascii="Times New Roman" w:hAnsi="Times New Roman" w:eastAsia="仿宋_GB2312" w:cs="Times New Roman"/>
          <w:b w:val="0"/>
          <w:bCs w:val="0"/>
          <w:color w:val="auto"/>
          <w:highlight w:val="none"/>
        </w:rPr>
        <w:t>本项目预算绩效评价报告的评价对象是资产清查及资产核销专项业务及其预算执行情况。该项目由</w:t>
      </w:r>
      <w:r>
        <w:rPr>
          <w:rFonts w:hint="default" w:ascii="Times New Roman" w:hAnsi="Times New Roman" w:eastAsia="仿宋_GB2312" w:cs="Times New Roman"/>
          <w:b w:val="0"/>
          <w:bCs w:val="0"/>
          <w:color w:val="auto"/>
          <w:highlight w:val="none"/>
          <w:lang w:val="en-US" w:eastAsia="zh-CN"/>
        </w:rPr>
        <w:t>塔城地区无线电管理局</w:t>
      </w:r>
      <w:r>
        <w:rPr>
          <w:rFonts w:hint="default" w:ascii="Times New Roman" w:hAnsi="Times New Roman" w:eastAsia="仿宋_GB2312" w:cs="Times New Roman"/>
          <w:b w:val="0"/>
          <w:bCs w:val="0"/>
          <w:color w:val="auto"/>
          <w:highlight w:val="none"/>
        </w:rPr>
        <w:t>负责实施，旨在</w:t>
      </w:r>
      <w:r>
        <w:rPr>
          <w:rFonts w:hint="default" w:ascii="Times New Roman" w:hAnsi="Times New Roman" w:eastAsia="仿宋_GB2312" w:cs="Times New Roman"/>
          <w:b w:val="0"/>
          <w:bCs w:val="0"/>
          <w:color w:val="auto"/>
          <w:highlight w:val="none"/>
          <w:lang w:val="en-US" w:eastAsia="zh-CN"/>
        </w:rPr>
        <w:t>摸清家底，</w:t>
      </w:r>
      <w:r>
        <w:rPr>
          <w:rStyle w:val="18"/>
          <w:rFonts w:hint="default" w:ascii="Times New Roman" w:hAnsi="Times New Roman" w:eastAsia="仿宋_GB2312" w:cs="Times New Roman"/>
          <w:b w:val="0"/>
          <w:bCs/>
          <w:color w:val="auto"/>
          <w:spacing w:val="-4"/>
          <w:sz w:val="32"/>
          <w:szCs w:val="32"/>
          <w:highlight w:val="none"/>
        </w:rPr>
        <w:t>委托中介机构对</w:t>
      </w:r>
      <w:r>
        <w:rPr>
          <w:rStyle w:val="18"/>
          <w:rFonts w:hint="default" w:ascii="Times New Roman" w:hAnsi="Times New Roman" w:eastAsia="仿宋_GB2312" w:cs="Times New Roman"/>
          <w:b w:val="0"/>
          <w:bCs/>
          <w:color w:val="auto"/>
          <w:spacing w:val="-4"/>
          <w:sz w:val="32"/>
          <w:szCs w:val="32"/>
          <w:highlight w:val="none"/>
          <w:lang w:val="en-US" w:eastAsia="zh-CN"/>
        </w:rPr>
        <w:t>截至</w:t>
      </w:r>
      <w:r>
        <w:rPr>
          <w:rStyle w:val="18"/>
          <w:rFonts w:hint="default" w:ascii="Times New Roman" w:hAnsi="Times New Roman" w:eastAsia="仿宋_GB2312" w:cs="Times New Roman"/>
          <w:b w:val="0"/>
          <w:bCs/>
          <w:color w:val="auto"/>
          <w:spacing w:val="-4"/>
          <w:sz w:val="32"/>
          <w:szCs w:val="32"/>
          <w:highlight w:val="none"/>
        </w:rPr>
        <w:t>2023年12月31日前固定资产开展清查审计工作</w:t>
      </w:r>
      <w:r>
        <w:rPr>
          <w:rFonts w:hint="default" w:ascii="Times New Roman" w:hAnsi="Times New Roman" w:eastAsia="仿宋_GB2312" w:cs="Times New Roman"/>
          <w:b w:val="0"/>
          <w:bCs w:val="0"/>
          <w:color w:val="auto"/>
          <w:highlight w:val="none"/>
        </w:rPr>
        <w:t>。项目预算涵盖从</w:t>
      </w:r>
      <w:r>
        <w:rPr>
          <w:rFonts w:hint="default" w:ascii="Times New Roman" w:hAnsi="Times New Roman" w:eastAsia="仿宋_GB2312" w:cs="Times New Roman"/>
          <w:b w:val="0"/>
          <w:bCs w:val="0"/>
          <w:color w:val="auto"/>
          <w:highlight w:val="none"/>
          <w:lang w:val="en-US" w:eastAsia="zh-CN"/>
        </w:rPr>
        <w:t>2024年1月1日</w:t>
      </w:r>
      <w:r>
        <w:rPr>
          <w:rFonts w:hint="default" w:ascii="Times New Roman" w:hAnsi="Times New Roman" w:eastAsia="仿宋_GB2312" w:cs="Times New Roman"/>
          <w:b w:val="0"/>
          <w:bCs w:val="0"/>
          <w:color w:val="auto"/>
          <w:highlight w:val="none"/>
        </w:rPr>
        <w:t>至</w:t>
      </w:r>
      <w:r>
        <w:rPr>
          <w:rFonts w:hint="default" w:ascii="Times New Roman" w:hAnsi="Times New Roman" w:eastAsia="仿宋_GB2312" w:cs="Times New Roman"/>
          <w:b w:val="0"/>
          <w:bCs w:val="0"/>
          <w:color w:val="auto"/>
          <w:highlight w:val="none"/>
          <w:lang w:val="en-US" w:eastAsia="zh-CN"/>
        </w:rPr>
        <w:t>2024年12月31日</w:t>
      </w:r>
      <w:r>
        <w:rPr>
          <w:rFonts w:hint="default" w:ascii="Times New Roman" w:hAnsi="Times New Roman" w:eastAsia="仿宋_GB2312" w:cs="Times New Roman"/>
          <w:b w:val="0"/>
          <w:bCs w:val="0"/>
          <w:color w:val="auto"/>
          <w:highlight w:val="none"/>
        </w:rPr>
        <w:t>的全部资金投入与支出，涉及资金总额为</w:t>
      </w:r>
      <w:r>
        <w:rPr>
          <w:rFonts w:hint="default" w:ascii="Times New Roman" w:hAnsi="Times New Roman" w:eastAsia="仿宋_GB2312" w:cs="Times New Roman"/>
          <w:b w:val="0"/>
          <w:bCs w:val="0"/>
          <w:color w:val="auto"/>
          <w:highlight w:val="none"/>
          <w:lang w:val="en-US" w:eastAsia="zh-CN"/>
        </w:rPr>
        <w:t>10.4万</w:t>
      </w:r>
      <w:r>
        <w:rPr>
          <w:rFonts w:hint="default" w:ascii="Times New Roman" w:hAnsi="Times New Roman" w:eastAsia="仿宋_GB2312" w:cs="Times New Roman"/>
          <w:b w:val="0"/>
          <w:bCs w:val="0"/>
          <w:color w:val="auto"/>
          <w:highlight w:val="none"/>
        </w:rPr>
        <w:t>元。</w:t>
      </w:r>
    </w:p>
    <w:p>
      <w:pPr>
        <w:pStyle w:val="16"/>
        <w:widowControl w:val="0"/>
        <w:spacing w:before="0" w:after="0" w:line="560" w:lineRule="exact"/>
        <w:ind w:firstLine="640" w:firstLineChars="200"/>
        <w:jc w:val="both"/>
        <w:outlineLvl w:val="9"/>
        <w:rPr>
          <w:rFonts w:hint="default" w:ascii="Times New Roman" w:hAnsi="Times New Roman" w:eastAsia="仿宋_GB2312" w:cs="Times New Roman"/>
          <w:b w:val="0"/>
          <w:bCs w:val="0"/>
          <w:color w:val="auto"/>
        </w:rPr>
      </w:pPr>
      <w:r>
        <w:rPr>
          <w:rFonts w:hint="default" w:ascii="Times New Roman" w:hAnsi="Times New Roman" w:eastAsia="仿宋_GB2312" w:cs="Times New Roman"/>
          <w:b w:val="0"/>
          <w:bCs w:val="0"/>
          <w:color w:val="auto"/>
          <w:lang w:val="en-US" w:eastAsia="zh-CN"/>
        </w:rPr>
        <w:t>4.</w:t>
      </w:r>
      <w:r>
        <w:rPr>
          <w:rFonts w:hint="default" w:ascii="Times New Roman" w:hAnsi="Times New Roman" w:eastAsia="仿宋_GB2312" w:cs="Times New Roman"/>
          <w:b w:val="0"/>
          <w:bCs w:val="0"/>
          <w:color w:val="auto"/>
        </w:rPr>
        <w:t>绩效评价的范围</w:t>
      </w:r>
    </w:p>
    <w:p>
      <w:pPr>
        <w:pStyle w:val="16"/>
        <w:widowControl w:val="0"/>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rPr>
      </w:pPr>
      <w:r>
        <w:rPr>
          <w:rFonts w:hint="default" w:ascii="Times New Roman" w:hAnsi="Times New Roman" w:eastAsia="仿宋_GB2312" w:cs="Times New Roman"/>
          <w:b w:val="0"/>
          <w:bCs w:val="0"/>
          <w:color w:val="auto"/>
          <w:highlight w:val="none"/>
        </w:rPr>
        <w:t>本项目预算绩效评价报告的评价范围广泛而全面，涵盖了从项目立项至评价时点期间的所有关键预算活动和财务流程。具体而言，评价范围包括但不限于以下几个方面：</w:t>
      </w:r>
    </w:p>
    <w:p>
      <w:pPr>
        <w:pStyle w:val="16"/>
        <w:widowControl w:val="0"/>
        <w:numPr>
          <w:ilvl w:val="0"/>
          <w:numId w:val="2"/>
        </w:numPr>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lang w:eastAsia="zh-CN"/>
        </w:rPr>
      </w:pPr>
      <w:r>
        <w:rPr>
          <w:rFonts w:hint="default" w:ascii="Times New Roman" w:hAnsi="Times New Roman" w:eastAsia="仿宋_GB2312" w:cs="Times New Roman"/>
          <w:b w:val="0"/>
          <w:bCs w:val="0"/>
          <w:color w:val="auto"/>
          <w:highlight w:val="none"/>
        </w:rPr>
        <w:t>项目预算编制与执行：预算编制依据充分，参考了过往类似项目费用、市场行情以及本次清查及核销工作的复杂程度和规模。对中介机构服务费用、可能涉及的资产运输与处置费用等进行了详细预估。预算编制整体合理且科学，各项费用明细设置清晰</w:t>
      </w:r>
      <w:r>
        <w:rPr>
          <w:rFonts w:hint="default" w:ascii="Times New Roman" w:hAnsi="Times New Roman" w:eastAsia="仿宋_GB2312" w:cs="Times New Roman"/>
          <w:b w:val="0"/>
          <w:bCs w:val="0"/>
          <w:color w:val="auto"/>
          <w:highlight w:val="none"/>
          <w:lang w:eastAsia="zh-CN"/>
        </w:rPr>
        <w:t>，</w:t>
      </w:r>
      <w:r>
        <w:rPr>
          <w:rFonts w:hint="default" w:ascii="Times New Roman" w:hAnsi="Times New Roman" w:eastAsia="仿宋_GB2312" w:cs="Times New Roman"/>
          <w:b w:val="0"/>
          <w:bCs w:val="0"/>
          <w:color w:val="auto"/>
          <w:highlight w:val="none"/>
        </w:rPr>
        <w:t>项目预算执行情况总体良好</w:t>
      </w:r>
      <w:r>
        <w:rPr>
          <w:rFonts w:hint="default" w:ascii="Times New Roman" w:hAnsi="Times New Roman" w:eastAsia="仿宋_GB2312" w:cs="Times New Roman"/>
          <w:b w:val="0"/>
          <w:bCs w:val="0"/>
          <w:color w:val="auto"/>
          <w:highlight w:val="none"/>
          <w:lang w:eastAsia="zh-CN"/>
        </w:rPr>
        <w:t>。</w:t>
      </w:r>
    </w:p>
    <w:p>
      <w:pPr>
        <w:pStyle w:val="16"/>
        <w:widowControl w:val="0"/>
        <w:numPr>
          <w:ilvl w:val="0"/>
          <w:numId w:val="2"/>
        </w:numPr>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lang w:eastAsia="zh-CN"/>
        </w:rPr>
      </w:pPr>
      <w:r>
        <w:rPr>
          <w:rFonts w:hint="default" w:ascii="Times New Roman" w:hAnsi="Times New Roman" w:eastAsia="仿宋_GB2312" w:cs="Times New Roman"/>
          <w:b w:val="0"/>
          <w:bCs w:val="0"/>
          <w:color w:val="auto"/>
          <w:highlight w:val="none"/>
        </w:rPr>
        <w:t>资金管理：资金分配合理，按照</w:t>
      </w:r>
      <w:r>
        <w:rPr>
          <w:rFonts w:hint="default" w:ascii="Times New Roman" w:hAnsi="Times New Roman" w:eastAsia="仿宋_GB2312" w:cs="Times New Roman"/>
          <w:b w:val="0"/>
          <w:bCs w:val="0"/>
          <w:color w:val="auto"/>
          <w:highlight w:val="none"/>
          <w:lang w:val="en-US" w:eastAsia="zh-CN"/>
        </w:rPr>
        <w:t>前期计划</w:t>
      </w:r>
      <w:r>
        <w:rPr>
          <w:rFonts w:hint="default" w:ascii="Times New Roman" w:hAnsi="Times New Roman" w:eastAsia="仿宋_GB2312" w:cs="Times New Roman"/>
          <w:b w:val="0"/>
          <w:bCs w:val="0"/>
          <w:color w:val="auto"/>
          <w:highlight w:val="none"/>
        </w:rPr>
        <w:t>和工作重点进行安排。资金使用严格遵循相关财务制度和项目合同约定。</w:t>
      </w:r>
      <w:r>
        <w:rPr>
          <w:rFonts w:hint="default" w:ascii="Times New Roman" w:hAnsi="Times New Roman" w:eastAsia="仿宋_GB2312" w:cs="Times New Roman"/>
          <w:b w:val="0"/>
          <w:bCs w:val="0"/>
          <w:color w:val="auto"/>
          <w:highlight w:val="none"/>
          <w:lang w:val="en-US" w:eastAsia="zh-CN"/>
        </w:rPr>
        <w:t>相关费</w:t>
      </w:r>
      <w:r>
        <w:rPr>
          <w:rFonts w:hint="default" w:ascii="Times New Roman" w:hAnsi="Times New Roman" w:eastAsia="仿宋_GB2312" w:cs="Times New Roman"/>
          <w:b w:val="0"/>
          <w:bCs w:val="0"/>
          <w:color w:val="auto"/>
          <w:highlight w:val="none"/>
        </w:rPr>
        <w:t>用按工作进度分期支付，每阶段支付前均对工作成果进行验收，确保资金使用与工作质量挂钩。</w:t>
      </w:r>
      <w:r>
        <w:rPr>
          <w:rFonts w:hint="default" w:ascii="Times New Roman" w:hAnsi="Times New Roman" w:eastAsia="仿宋_GB2312" w:cs="Times New Roman"/>
          <w:b w:val="0"/>
          <w:bCs w:val="0"/>
          <w:color w:val="auto"/>
          <w:highlight w:val="none"/>
          <w:lang w:val="en-US" w:eastAsia="zh-CN"/>
        </w:rPr>
        <w:t>严格遵照本单位内部控制制度</w:t>
      </w:r>
      <w:r>
        <w:rPr>
          <w:rFonts w:hint="default" w:ascii="Times New Roman" w:hAnsi="Times New Roman" w:eastAsia="仿宋_GB2312" w:cs="Times New Roman"/>
          <w:b w:val="0"/>
          <w:bCs w:val="0"/>
          <w:color w:val="auto"/>
          <w:highlight w:val="none"/>
        </w:rPr>
        <w:t>，每笔支出均有详细记录和审批流程。保障资金使用的透明度和合规性，</w:t>
      </w:r>
      <w:r>
        <w:rPr>
          <w:rFonts w:hint="default" w:ascii="Times New Roman" w:hAnsi="Times New Roman" w:eastAsia="仿宋_GB2312" w:cs="Times New Roman"/>
          <w:b w:val="0"/>
          <w:bCs w:val="0"/>
          <w:color w:val="auto"/>
          <w:highlight w:val="none"/>
          <w:lang w:val="en-US" w:eastAsia="zh-CN"/>
        </w:rPr>
        <w:t>无</w:t>
      </w:r>
      <w:r>
        <w:rPr>
          <w:rFonts w:hint="default" w:ascii="Times New Roman" w:hAnsi="Times New Roman" w:eastAsia="仿宋_GB2312" w:cs="Times New Roman"/>
          <w:b w:val="0"/>
          <w:bCs w:val="0"/>
          <w:color w:val="auto"/>
          <w:highlight w:val="none"/>
        </w:rPr>
        <w:t>资金挪用、浪费等违规现象。</w:t>
      </w:r>
    </w:p>
    <w:p>
      <w:pPr>
        <w:pStyle w:val="16"/>
        <w:widowControl w:val="0"/>
        <w:numPr>
          <w:ilvl w:val="0"/>
          <w:numId w:val="0"/>
        </w:numPr>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lang w:val="en-US" w:eastAsia="zh-CN"/>
        </w:rPr>
      </w:pPr>
      <w:r>
        <w:rPr>
          <w:rFonts w:hint="default" w:ascii="Times New Roman" w:hAnsi="Times New Roman" w:eastAsia="仿宋_GB2312" w:cs="Times New Roman"/>
          <w:b w:val="0"/>
          <w:bCs w:val="0"/>
          <w:color w:val="auto"/>
          <w:highlight w:val="none"/>
        </w:rPr>
        <w:t>项目实施进度与产出：项目按照既定计划顺利推进，各阶段任务按时完成。项目筹备阶段提前完成政府采购意向公开和计划申报，</w:t>
      </w:r>
      <w:r>
        <w:rPr>
          <w:rFonts w:hint="default" w:ascii="Times New Roman" w:hAnsi="Times New Roman" w:eastAsia="仿宋_GB2312" w:cs="Times New Roman"/>
          <w:b w:val="0"/>
          <w:bCs w:val="0"/>
          <w:color w:val="auto"/>
          <w:highlight w:val="none"/>
          <w:lang w:val="en-US" w:eastAsia="zh-CN"/>
        </w:rPr>
        <w:t>审计机构</w:t>
      </w:r>
      <w:r>
        <w:rPr>
          <w:rFonts w:hint="default" w:ascii="Times New Roman" w:hAnsi="Times New Roman" w:eastAsia="仿宋_GB2312" w:cs="Times New Roman"/>
          <w:b w:val="0"/>
          <w:bCs w:val="0"/>
          <w:color w:val="auto"/>
          <w:highlight w:val="none"/>
        </w:rPr>
        <w:t>选定阶段严格按流程操作，在规定时间内完成合同签订</w:t>
      </w:r>
      <w:r>
        <w:rPr>
          <w:rFonts w:hint="default" w:ascii="Times New Roman" w:hAnsi="Times New Roman" w:eastAsia="仿宋_GB2312" w:cs="Times New Roman"/>
          <w:b w:val="0"/>
          <w:bCs w:val="0"/>
          <w:color w:val="auto"/>
          <w:highlight w:val="none"/>
          <w:lang w:eastAsia="zh-CN"/>
        </w:rPr>
        <w:t>，清查实施阶段，</w:t>
      </w:r>
      <w:r>
        <w:rPr>
          <w:rFonts w:hint="default" w:ascii="Times New Roman" w:hAnsi="Times New Roman" w:eastAsia="仿宋_GB2312" w:cs="Times New Roman"/>
          <w:b w:val="0"/>
          <w:bCs w:val="0"/>
          <w:color w:val="auto"/>
          <w:highlight w:val="none"/>
          <w:lang w:val="en-US" w:eastAsia="zh-CN"/>
        </w:rPr>
        <w:t>审计机构</w:t>
      </w:r>
      <w:r>
        <w:rPr>
          <w:rFonts w:hint="default" w:ascii="Times New Roman" w:hAnsi="Times New Roman" w:eastAsia="仿宋_GB2312" w:cs="Times New Roman"/>
          <w:b w:val="0"/>
          <w:bCs w:val="0"/>
          <w:color w:val="auto"/>
          <w:highlight w:val="none"/>
          <w:lang w:eastAsia="zh-CN"/>
        </w:rPr>
        <w:t>按时入驻并全面开展清查工作，全面完成了对截至 2023 年 12 月 31 日前本单位所有固定资产的清查工作，清查资产数量共计</w:t>
      </w:r>
      <w:r>
        <w:rPr>
          <w:rFonts w:hint="default" w:ascii="Times New Roman" w:hAnsi="Times New Roman" w:eastAsia="仿宋_GB2312" w:cs="Times New Roman"/>
          <w:b w:val="0"/>
          <w:bCs w:val="0"/>
          <w:color w:val="auto"/>
          <w:highlight w:val="none"/>
          <w:lang w:val="en-US" w:eastAsia="zh-CN"/>
        </w:rPr>
        <w:t>718</w:t>
      </w:r>
      <w:r>
        <w:rPr>
          <w:rFonts w:hint="default" w:ascii="Times New Roman" w:hAnsi="Times New Roman" w:eastAsia="仿宋_GB2312" w:cs="Times New Roman"/>
          <w:b w:val="0"/>
          <w:bCs w:val="0"/>
          <w:color w:val="auto"/>
          <w:highlight w:val="none"/>
          <w:lang w:eastAsia="zh-CN"/>
        </w:rPr>
        <w:t>件，覆盖了单位的各个</w:t>
      </w:r>
      <w:r>
        <w:rPr>
          <w:rFonts w:hint="default" w:ascii="Times New Roman" w:hAnsi="Times New Roman" w:eastAsia="仿宋_GB2312" w:cs="Times New Roman"/>
          <w:b w:val="0"/>
          <w:bCs w:val="0"/>
          <w:color w:val="auto"/>
          <w:highlight w:val="none"/>
          <w:lang w:val="en-US" w:eastAsia="zh-CN"/>
        </w:rPr>
        <w:t>科室</w:t>
      </w:r>
      <w:r>
        <w:rPr>
          <w:rFonts w:hint="default" w:ascii="Times New Roman" w:hAnsi="Times New Roman" w:eastAsia="仿宋_GB2312" w:cs="Times New Roman"/>
          <w:b w:val="0"/>
          <w:bCs w:val="0"/>
          <w:color w:val="auto"/>
          <w:highlight w:val="none"/>
          <w:lang w:eastAsia="zh-CN"/>
        </w:rPr>
        <w:t>和业务领域。清查工作质量高，资产信息记录详实准确，对资产名称、规格、购置时间、使用状况等关键信息的记录准确率达到 98% 以上。</w:t>
      </w:r>
      <w:r>
        <w:rPr>
          <w:rFonts w:hint="default" w:ascii="Times New Roman" w:hAnsi="Times New Roman" w:eastAsia="仿宋_GB2312" w:cs="Times New Roman"/>
          <w:b w:val="0"/>
          <w:bCs w:val="0"/>
          <w:color w:val="auto"/>
          <w:highlight w:val="none"/>
          <w:lang w:val="en-US" w:eastAsia="zh-CN"/>
        </w:rPr>
        <w:t>审计机构</w:t>
      </w:r>
      <w:r>
        <w:rPr>
          <w:rFonts w:hint="default" w:ascii="Times New Roman" w:hAnsi="Times New Roman" w:eastAsia="仿宋_GB2312" w:cs="Times New Roman"/>
          <w:b w:val="0"/>
          <w:bCs w:val="0"/>
          <w:color w:val="auto"/>
          <w:highlight w:val="none"/>
          <w:lang w:eastAsia="zh-CN"/>
        </w:rPr>
        <w:t>出具的清查及核销报告内容完整、数据可靠，经单位内部审核，报告质量符合要求，为单位后续资产管理提供了有力的数据支持。项目在规定时间内完成，及时为单位提供了最新、准确的资产数据，有助于单位及时调整资产管理策略，提高了资产管理效率，时效性符合预期。</w:t>
      </w:r>
    </w:p>
    <w:p>
      <w:pPr>
        <w:pStyle w:val="16"/>
        <w:widowControl w:val="0"/>
        <w:numPr>
          <w:ilvl w:val="0"/>
          <w:numId w:val="0"/>
        </w:numPr>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lang w:val="en-US" w:eastAsia="zh-CN"/>
        </w:rPr>
      </w:pPr>
      <w:r>
        <w:rPr>
          <w:rFonts w:hint="default" w:ascii="Times New Roman" w:hAnsi="Times New Roman" w:eastAsia="仿宋_GB2312" w:cs="Times New Roman"/>
          <w:b w:val="0"/>
          <w:bCs w:val="0"/>
          <w:color w:val="auto"/>
          <w:highlight w:val="none"/>
          <w:lang w:val="en-US" w:eastAsia="zh-CN"/>
        </w:rPr>
        <w:t>（4）社会、生态等影响：由于本项目主要是行政事业单位内部资产管理工作，对社会和生态环境的直接影响较小。但从间接角度来看，通过强化资产管理，提高了单位资产使用效率，有助于优化公共资源配置，提升单位履行公共服务职能的能力，从长远看对社会发展具有积极的促进作用。在经济方面，通过准确的资产清查及核销，避免了资产闲置浪费，提高了资产运转效益，为单位节约了潜在成本，对单位经济管理产生了积极影响。</w:t>
      </w:r>
    </w:p>
    <w:p>
      <w:pPr>
        <w:spacing w:line="560" w:lineRule="exact"/>
        <w:ind w:firstLine="643" w:firstLineChars="200"/>
        <w:rPr>
          <w:rFonts w:hint="default" w:ascii="Times New Roman" w:hAnsi="Times New Roman" w:cs="Times New Roman"/>
          <w:color w:val="auto"/>
        </w:rPr>
      </w:pPr>
      <w:r>
        <w:rPr>
          <w:rFonts w:hint="default" w:ascii="Times New Roman" w:hAnsi="Times New Roman" w:eastAsia="楷体_GB2312" w:cs="Times New Roman"/>
          <w:b/>
          <w:bCs/>
          <w:color w:val="auto"/>
          <w:sz w:val="32"/>
          <w:szCs w:val="32"/>
        </w:rPr>
        <w:t>（二）绩效评价原则、评价指标体系（详情见表1）、评价方法、评价标准。</w:t>
      </w:r>
    </w:p>
    <w:p>
      <w:pPr>
        <w:pStyle w:val="16"/>
        <w:widowControl w:val="0"/>
        <w:spacing w:before="0" w:after="0" w:line="560" w:lineRule="exact"/>
        <w:ind w:firstLine="640" w:firstLineChars="200"/>
        <w:jc w:val="both"/>
        <w:outlineLvl w:val="9"/>
        <w:rPr>
          <w:rFonts w:hint="default" w:ascii="Times New Roman" w:hAnsi="Times New Roman" w:eastAsia="仿宋_GB2312" w:cs="Times New Roman"/>
          <w:b w:val="0"/>
          <w:bCs w:val="0"/>
          <w:color w:val="auto"/>
        </w:rPr>
      </w:pPr>
      <w:r>
        <w:rPr>
          <w:rFonts w:hint="default" w:ascii="Times New Roman" w:hAnsi="Times New Roman" w:eastAsia="仿宋_GB2312" w:cs="Times New Roman"/>
          <w:b w:val="0"/>
          <w:bCs w:val="0"/>
          <w:color w:val="auto"/>
        </w:rPr>
        <w:t>1</w:t>
      </w:r>
      <w:r>
        <w:rPr>
          <w:rFonts w:hint="default" w:ascii="Times New Roman" w:hAnsi="Times New Roman" w:eastAsia="仿宋_GB2312" w:cs="Times New Roman"/>
          <w:b/>
          <w:bCs/>
          <w:color w:val="auto"/>
          <w:sz w:val="32"/>
          <w:szCs w:val="32"/>
          <w:lang w:val="en-US" w:eastAsia="zh-CN"/>
        </w:rPr>
        <w:t>.</w:t>
      </w:r>
      <w:r>
        <w:rPr>
          <w:rFonts w:hint="default" w:ascii="Times New Roman" w:hAnsi="Times New Roman" w:eastAsia="仿宋_GB2312" w:cs="Times New Roman"/>
          <w:b w:val="0"/>
          <w:bCs w:val="0"/>
          <w:color w:val="auto"/>
        </w:rPr>
        <w:t>绩效评价原则</w:t>
      </w:r>
    </w:p>
    <w:p>
      <w:pPr>
        <w:spacing w:line="560" w:lineRule="exact"/>
        <w:ind w:firstLine="640" w:firstLineChars="200"/>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本次项目绩效评价遵循以下基本原则：</w:t>
      </w:r>
    </w:p>
    <w:p>
      <w:pPr>
        <w:pStyle w:val="16"/>
        <w:spacing w:before="0" w:after="0" w:line="560" w:lineRule="exact"/>
        <w:ind w:firstLine="640" w:firstLineChars="200"/>
        <w:jc w:val="both"/>
        <w:outlineLvl w:val="9"/>
        <w:rPr>
          <w:rFonts w:hint="default" w:ascii="Times New Roman" w:hAnsi="Times New Roman" w:eastAsia="仿宋_GB2312" w:cs="Times New Roman"/>
          <w:b w:val="0"/>
          <w:bCs w:val="0"/>
          <w:color w:val="auto"/>
        </w:rPr>
      </w:pPr>
      <w:r>
        <w:rPr>
          <w:rFonts w:hint="default" w:ascii="Times New Roman" w:hAnsi="Times New Roman" w:eastAsia="仿宋_GB2312" w:cs="Times New Roman"/>
          <w:b w:val="0"/>
          <w:bCs w:val="0"/>
          <w:color w:val="auto"/>
        </w:rPr>
        <w:t>（1）科学公正。绩效评价应当运用科学合理的方法，按照规范的程序，对项目绩效进行客观、公正的反映。</w:t>
      </w:r>
    </w:p>
    <w:p>
      <w:pPr>
        <w:pStyle w:val="16"/>
        <w:spacing w:before="0" w:after="0" w:line="560" w:lineRule="exact"/>
        <w:ind w:firstLine="640" w:firstLineChars="200"/>
        <w:jc w:val="both"/>
        <w:outlineLvl w:val="9"/>
        <w:rPr>
          <w:rFonts w:hint="default" w:ascii="Times New Roman" w:hAnsi="Times New Roman" w:eastAsia="仿宋_GB2312" w:cs="Times New Roman"/>
          <w:b w:val="0"/>
          <w:bCs w:val="0"/>
          <w:color w:val="auto"/>
        </w:rPr>
      </w:pPr>
      <w:r>
        <w:rPr>
          <w:rFonts w:hint="default" w:ascii="Times New Roman" w:hAnsi="Times New Roman" w:eastAsia="仿宋_GB2312" w:cs="Times New Roman"/>
          <w:b w:val="0"/>
          <w:bCs w:val="0"/>
          <w:color w:val="auto"/>
        </w:rPr>
        <w:t>（2）统筹兼顾。单位自评、部门评价和财政评价应职责明确，各有侧重，相互衔接。单位自评应由项目单位自主实施，即“谁支出、谁自评”。部门评价和财政评价应在单位自评的基础上开展。</w:t>
      </w:r>
    </w:p>
    <w:p>
      <w:pPr>
        <w:pStyle w:val="16"/>
        <w:spacing w:before="0" w:after="0" w:line="560" w:lineRule="exact"/>
        <w:ind w:firstLine="640" w:firstLineChars="200"/>
        <w:jc w:val="both"/>
        <w:outlineLvl w:val="9"/>
        <w:rPr>
          <w:rFonts w:hint="default" w:ascii="Times New Roman" w:hAnsi="Times New Roman" w:eastAsia="仿宋_GB2312" w:cs="Times New Roman"/>
          <w:b w:val="0"/>
          <w:bCs w:val="0"/>
          <w:color w:val="auto"/>
        </w:rPr>
      </w:pPr>
      <w:r>
        <w:rPr>
          <w:rFonts w:hint="default" w:ascii="Times New Roman" w:hAnsi="Times New Roman" w:eastAsia="仿宋_GB2312" w:cs="Times New Roman"/>
          <w:b w:val="0"/>
          <w:bCs w:val="0"/>
          <w:color w:val="auto"/>
        </w:rPr>
        <w:t>（3）激励约束。绩效评价结果应与预算安排、政策调整、改进管理实质性挂钩，体现奖优罚劣和激励相容导向，有效要安排、低效要压减、无效要问责。</w:t>
      </w:r>
    </w:p>
    <w:p>
      <w:pPr>
        <w:pStyle w:val="16"/>
        <w:spacing w:before="0" w:after="0" w:line="560" w:lineRule="exact"/>
        <w:ind w:firstLine="640" w:firstLineChars="200"/>
        <w:jc w:val="both"/>
        <w:outlineLvl w:val="9"/>
        <w:rPr>
          <w:rFonts w:hint="default" w:ascii="Times New Roman" w:hAnsi="Times New Roman" w:eastAsia="仿宋_GB2312" w:cs="Times New Roman"/>
          <w:b w:val="0"/>
          <w:bCs w:val="0"/>
          <w:color w:val="auto"/>
        </w:rPr>
      </w:pPr>
      <w:r>
        <w:rPr>
          <w:rFonts w:hint="default" w:ascii="Times New Roman" w:hAnsi="Times New Roman" w:eastAsia="仿宋_GB2312" w:cs="Times New Roman"/>
          <w:b w:val="0"/>
          <w:bCs w:val="0"/>
          <w:color w:val="auto"/>
        </w:rPr>
        <w:t>（4）公开透明。绩效评价结果应依法依规公开，并自觉接受社会监督。</w:t>
      </w:r>
    </w:p>
    <w:p>
      <w:pPr>
        <w:pStyle w:val="16"/>
        <w:widowControl w:val="0"/>
        <w:spacing w:before="0" w:after="0" w:line="560" w:lineRule="exact"/>
        <w:ind w:firstLine="640" w:firstLineChars="200"/>
        <w:jc w:val="both"/>
        <w:outlineLvl w:val="9"/>
        <w:rPr>
          <w:rFonts w:hint="default" w:ascii="Times New Roman" w:hAnsi="Times New Roman" w:eastAsia="仿宋_GB2312" w:cs="Times New Roman"/>
          <w:b w:val="0"/>
          <w:bCs w:val="0"/>
          <w:color w:val="auto"/>
        </w:rPr>
      </w:pPr>
      <w:r>
        <w:rPr>
          <w:rFonts w:hint="default" w:ascii="Times New Roman" w:hAnsi="Times New Roman" w:eastAsia="仿宋_GB2312" w:cs="Times New Roman"/>
          <w:b w:val="0"/>
          <w:bCs w:val="0"/>
          <w:color w:val="auto"/>
        </w:rPr>
        <w:t>2</w:t>
      </w:r>
      <w:r>
        <w:rPr>
          <w:rFonts w:hint="default" w:ascii="Times New Roman" w:hAnsi="Times New Roman" w:eastAsia="仿宋_GB2312" w:cs="Times New Roman"/>
          <w:b/>
          <w:bCs/>
          <w:color w:val="auto"/>
          <w:sz w:val="32"/>
          <w:szCs w:val="32"/>
          <w:lang w:val="en-US" w:eastAsia="zh-CN"/>
        </w:rPr>
        <w:t>.</w:t>
      </w:r>
      <w:r>
        <w:rPr>
          <w:rFonts w:hint="default" w:ascii="Times New Roman" w:hAnsi="Times New Roman" w:eastAsia="仿宋_GB2312" w:cs="Times New Roman"/>
          <w:b w:val="0"/>
          <w:bCs w:val="0"/>
          <w:color w:val="auto"/>
        </w:rPr>
        <w:t>评价指标体系</w:t>
      </w:r>
    </w:p>
    <w:p>
      <w:pPr>
        <w:spacing w:line="560" w:lineRule="exact"/>
        <w:ind w:firstLine="708" w:firstLineChars="200"/>
        <w:rPr>
          <w:rFonts w:hint="default" w:ascii="Times New Roman" w:hAnsi="Times New Roman" w:cs="Times New Roman"/>
          <w:color w:val="auto"/>
          <w:spacing w:val="17"/>
          <w:sz w:val="32"/>
          <w:szCs w:val="32"/>
        </w:rPr>
      </w:pPr>
      <w:r>
        <w:rPr>
          <w:rFonts w:hint="default" w:ascii="Times New Roman" w:hAnsi="Times New Roman" w:eastAsia="仿宋_GB2312" w:cs="Times New Roman"/>
          <w:color w:val="auto"/>
          <w:spacing w:val="17"/>
          <w:sz w:val="32"/>
          <w:szCs w:val="32"/>
        </w:rPr>
        <w:t>绩效评价框架是开展绩效评价的核心。绩效评价框架包括评价准则、关键评价问题、评价指标、数据来源、数据收集方法等。指标体系建立过程如下：</w:t>
      </w:r>
    </w:p>
    <w:p>
      <w:pPr>
        <w:spacing w:line="560" w:lineRule="exact"/>
        <w:ind w:firstLine="708" w:firstLineChars="200"/>
        <w:rPr>
          <w:rFonts w:hint="default" w:ascii="Times New Roman" w:hAnsi="Times New Roman" w:eastAsia="仿宋_GB2312" w:cs="Times New Roman"/>
          <w:color w:val="auto"/>
          <w:spacing w:val="17"/>
          <w:sz w:val="32"/>
          <w:szCs w:val="32"/>
        </w:rPr>
      </w:pPr>
      <w:r>
        <w:rPr>
          <w:rFonts w:hint="default" w:ascii="Times New Roman" w:hAnsi="Times New Roman" w:eastAsia="仿宋_GB2312" w:cs="Times New Roman"/>
          <w:color w:val="auto"/>
          <w:spacing w:val="17"/>
          <w:sz w:val="32"/>
          <w:szCs w:val="32"/>
        </w:rPr>
        <w:t>（1）确定评价指标</w:t>
      </w:r>
    </w:p>
    <w:p>
      <w:pPr>
        <w:spacing w:line="560" w:lineRule="exact"/>
        <w:ind w:firstLine="708" w:firstLineChars="200"/>
        <w:rPr>
          <w:rFonts w:hint="default" w:ascii="Times New Roman" w:hAnsi="Times New Roman" w:eastAsia="仿宋_GB2312" w:cs="Times New Roman"/>
          <w:color w:val="auto"/>
          <w:spacing w:val="17"/>
          <w:sz w:val="32"/>
          <w:szCs w:val="32"/>
        </w:rPr>
      </w:pPr>
      <w:r>
        <w:rPr>
          <w:rFonts w:hint="default" w:ascii="Times New Roman" w:hAnsi="Times New Roman" w:eastAsia="仿宋_GB2312" w:cs="Times New Roman"/>
          <w:color w:val="auto"/>
          <w:spacing w:val="17"/>
          <w:sz w:val="32"/>
          <w:szCs w:val="32"/>
        </w:rPr>
        <w:t>采用层次分析法，建立评价指标体系。绩效评价将指标分为项目决策指标、项目过程指标、项目产出指标、项目效益指标四个维度，最终形成一个由多个相互联系的指标组成的多层次指标体系。</w:t>
      </w:r>
    </w:p>
    <w:p>
      <w:pPr>
        <w:spacing w:line="560" w:lineRule="exact"/>
        <w:ind w:firstLine="708" w:firstLineChars="200"/>
        <w:rPr>
          <w:rFonts w:hint="default" w:ascii="Times New Roman" w:hAnsi="Times New Roman" w:eastAsia="仿宋_GB2312" w:cs="Times New Roman"/>
          <w:color w:val="auto"/>
          <w:spacing w:val="17"/>
          <w:sz w:val="32"/>
          <w:szCs w:val="32"/>
        </w:rPr>
      </w:pPr>
      <w:r>
        <w:rPr>
          <w:rFonts w:hint="default" w:ascii="Times New Roman" w:hAnsi="Times New Roman" w:eastAsia="仿宋_GB2312" w:cs="Times New Roman"/>
          <w:color w:val="auto"/>
          <w:spacing w:val="17"/>
          <w:sz w:val="32"/>
          <w:szCs w:val="32"/>
        </w:rPr>
        <w:t>（2）确定权重</w:t>
      </w:r>
    </w:p>
    <w:p>
      <w:pPr>
        <w:spacing w:line="560" w:lineRule="exact"/>
        <w:ind w:firstLine="708" w:firstLineChars="200"/>
        <w:rPr>
          <w:rFonts w:hint="default" w:ascii="Times New Roman" w:hAnsi="Times New Roman" w:eastAsia="仿宋_GB2312" w:cs="Times New Roman"/>
          <w:color w:val="auto"/>
          <w:spacing w:val="17"/>
          <w:sz w:val="32"/>
          <w:szCs w:val="32"/>
          <w:lang w:eastAsia="zh-CN"/>
        </w:rPr>
      </w:pPr>
      <w:r>
        <w:rPr>
          <w:rFonts w:hint="default" w:ascii="Times New Roman" w:hAnsi="Times New Roman" w:eastAsia="仿宋_GB2312" w:cs="Times New Roman"/>
          <w:color w:val="auto"/>
          <w:spacing w:val="17"/>
          <w:sz w:val="32"/>
          <w:szCs w:val="32"/>
        </w:rPr>
        <w:t>确定各个指标相对于项目总体绩效的权重分值。在绩效评价指标体系中，</w:t>
      </w:r>
      <w:r>
        <w:rPr>
          <w:rFonts w:hint="eastAsia" w:eastAsia="仿宋_GB2312" w:cs="Times New Roman"/>
          <w:color w:val="auto"/>
          <w:spacing w:val="17"/>
          <w:sz w:val="32"/>
          <w:szCs w:val="32"/>
          <w:lang w:val="en-US" w:eastAsia="zh-CN"/>
        </w:rPr>
        <w:t>项目</w:t>
      </w:r>
      <w:r>
        <w:rPr>
          <w:rFonts w:hint="default" w:ascii="Times New Roman" w:hAnsi="Times New Roman" w:eastAsia="仿宋_GB2312" w:cs="Times New Roman"/>
          <w:color w:val="auto"/>
          <w:spacing w:val="17"/>
          <w:sz w:val="32"/>
          <w:szCs w:val="32"/>
          <w:lang w:eastAsia="zh-CN"/>
        </w:rPr>
        <w:t>决策权重为20分，项目过程权重为20分，项目产出权重为40分，项目效益权重为20分</w:t>
      </w:r>
      <w:r>
        <w:rPr>
          <w:rFonts w:hint="default" w:ascii="Times New Roman" w:hAnsi="Times New Roman" w:eastAsia="仿宋_GB2312" w:cs="Times New Roman"/>
          <w:color w:val="auto"/>
          <w:spacing w:val="17"/>
          <w:sz w:val="32"/>
          <w:szCs w:val="32"/>
        </w:rPr>
        <w:t>。</w:t>
      </w:r>
    </w:p>
    <w:p>
      <w:pPr>
        <w:spacing w:line="560" w:lineRule="exact"/>
        <w:ind w:firstLine="708" w:firstLineChars="200"/>
        <w:rPr>
          <w:rFonts w:hint="default" w:ascii="Times New Roman" w:hAnsi="Times New Roman" w:eastAsia="仿宋_GB2312" w:cs="Times New Roman"/>
          <w:color w:val="auto"/>
          <w:spacing w:val="17"/>
          <w:sz w:val="32"/>
          <w:szCs w:val="32"/>
        </w:rPr>
      </w:pPr>
      <w:r>
        <w:rPr>
          <w:rFonts w:hint="default" w:ascii="Times New Roman" w:hAnsi="Times New Roman" w:eastAsia="仿宋_GB2312" w:cs="Times New Roman"/>
          <w:color w:val="auto"/>
          <w:spacing w:val="17"/>
          <w:sz w:val="32"/>
          <w:szCs w:val="32"/>
        </w:rPr>
        <w:t>（3）确定指标标准值</w:t>
      </w:r>
    </w:p>
    <w:p>
      <w:pPr>
        <w:spacing w:line="560" w:lineRule="exact"/>
        <w:ind w:firstLine="708" w:firstLineChars="200"/>
        <w:rPr>
          <w:rFonts w:hint="default" w:ascii="Times New Roman" w:hAnsi="Times New Roman" w:eastAsia="仿宋_GB2312" w:cs="Times New Roman"/>
          <w:color w:val="auto"/>
          <w:spacing w:val="17"/>
          <w:sz w:val="32"/>
          <w:szCs w:val="32"/>
        </w:rPr>
      </w:pPr>
      <w:r>
        <w:rPr>
          <w:rFonts w:hint="default" w:ascii="Times New Roman" w:hAnsi="Times New Roman" w:eastAsia="仿宋_GB2312" w:cs="Times New Roman"/>
          <w:color w:val="auto"/>
          <w:spacing w:val="17"/>
          <w:sz w:val="32"/>
          <w:szCs w:val="32"/>
        </w:rPr>
        <w:t>指标标准值是绩效评价指标的尺度，既要反映同类项目的先进水平，又要符合项目的实际绩效水平。具体采用计划标准等确定此次绩效评价指标标准值。</w:t>
      </w:r>
    </w:p>
    <w:p>
      <w:pPr>
        <w:pStyle w:val="16"/>
        <w:spacing w:before="0" w:after="0" w:line="560" w:lineRule="exact"/>
        <w:ind w:firstLine="708" w:firstLineChars="200"/>
        <w:jc w:val="both"/>
        <w:rPr>
          <w:rFonts w:hint="default" w:ascii="Times New Roman" w:hAnsi="Times New Roman" w:eastAsia="仿宋_GB2312" w:cs="Times New Roman"/>
          <w:b w:val="0"/>
          <w:bCs w:val="0"/>
          <w:color w:val="auto"/>
          <w:spacing w:val="17"/>
          <w:kern w:val="2"/>
        </w:rPr>
      </w:pPr>
      <w:r>
        <w:rPr>
          <w:rFonts w:hint="default" w:ascii="Times New Roman" w:hAnsi="Times New Roman" w:eastAsia="仿宋_GB2312" w:cs="Times New Roman"/>
          <w:b w:val="0"/>
          <w:bCs w:val="0"/>
          <w:color w:val="auto"/>
          <w:spacing w:val="17"/>
          <w:kern w:val="2"/>
        </w:rPr>
        <w:t>绩效评价总分值100分，根据综合评分结果，90（含）-100分为优、80（含）-90分为良、60（含）-80分为中、60分以下为差。</w:t>
      </w:r>
    </w:p>
    <w:p>
      <w:pPr>
        <w:pStyle w:val="16"/>
        <w:widowControl w:val="0"/>
        <w:spacing w:before="0" w:after="0" w:line="560" w:lineRule="exact"/>
        <w:ind w:firstLine="708" w:firstLineChars="200"/>
        <w:jc w:val="both"/>
        <w:outlineLvl w:val="9"/>
        <w:rPr>
          <w:rFonts w:hint="default" w:ascii="Times New Roman" w:hAnsi="Times New Roman" w:eastAsia="仿宋_GB2312" w:cs="Times New Roman"/>
          <w:b w:val="0"/>
          <w:bCs w:val="0"/>
          <w:color w:val="auto"/>
          <w:spacing w:val="17"/>
        </w:rPr>
      </w:pPr>
      <w:r>
        <w:rPr>
          <w:rFonts w:hint="default" w:ascii="Times New Roman" w:hAnsi="Times New Roman" w:eastAsia="仿宋_GB2312" w:cs="Times New Roman"/>
          <w:b w:val="0"/>
          <w:bCs w:val="0"/>
          <w:color w:val="auto"/>
          <w:spacing w:val="17"/>
        </w:rPr>
        <w:t>具体评价指标体系详情见附件1</w:t>
      </w:r>
    </w:p>
    <w:p>
      <w:pPr>
        <w:pStyle w:val="16"/>
        <w:widowControl w:val="0"/>
        <w:spacing w:before="0" w:after="0" w:line="560" w:lineRule="exact"/>
        <w:ind w:firstLine="640" w:firstLineChars="200"/>
        <w:jc w:val="both"/>
        <w:outlineLvl w:val="9"/>
        <w:rPr>
          <w:rFonts w:hint="default" w:ascii="Times New Roman" w:hAnsi="Times New Roman" w:eastAsia="仿宋_GB2312" w:cs="Times New Roman"/>
          <w:b w:val="0"/>
          <w:bCs w:val="0"/>
          <w:color w:val="auto"/>
        </w:rPr>
      </w:pPr>
      <w:r>
        <w:rPr>
          <w:rFonts w:hint="default" w:ascii="Times New Roman" w:hAnsi="Times New Roman" w:eastAsia="仿宋_GB2312" w:cs="Times New Roman"/>
          <w:b w:val="0"/>
          <w:bCs w:val="0"/>
          <w:color w:val="auto"/>
        </w:rPr>
        <w:t>3</w:t>
      </w:r>
      <w:r>
        <w:rPr>
          <w:rFonts w:hint="default" w:ascii="Times New Roman" w:hAnsi="Times New Roman" w:eastAsia="仿宋_GB2312" w:cs="Times New Roman"/>
          <w:b w:val="0"/>
          <w:bCs w:val="0"/>
          <w:color w:val="auto"/>
          <w:lang w:val="en-US" w:eastAsia="zh-CN"/>
        </w:rPr>
        <w:t>.</w:t>
      </w:r>
      <w:r>
        <w:rPr>
          <w:rFonts w:hint="default" w:ascii="Times New Roman" w:hAnsi="Times New Roman" w:eastAsia="仿宋_GB2312" w:cs="Times New Roman"/>
          <w:b w:val="0"/>
          <w:bCs w:val="0"/>
          <w:color w:val="auto"/>
        </w:rPr>
        <w:t>绩效评价方法</w:t>
      </w:r>
    </w:p>
    <w:p>
      <w:pPr>
        <w:spacing w:line="560" w:lineRule="exact"/>
        <w:ind w:firstLine="708" w:firstLineChars="200"/>
        <w:rPr>
          <w:rFonts w:hint="default" w:ascii="Times New Roman" w:hAnsi="Times New Roman" w:eastAsia="仿宋_GB2312" w:cs="Times New Roman"/>
          <w:color w:val="auto"/>
          <w:spacing w:val="17"/>
          <w:sz w:val="32"/>
          <w:szCs w:val="32"/>
        </w:rPr>
      </w:pPr>
      <w:r>
        <w:rPr>
          <w:rFonts w:hint="default" w:ascii="Times New Roman" w:hAnsi="Times New Roman" w:eastAsia="仿宋_GB2312" w:cs="Times New Roman"/>
          <w:color w:val="auto"/>
          <w:spacing w:val="17"/>
          <w:sz w:val="32"/>
          <w:szCs w:val="32"/>
        </w:rPr>
        <w:t>绩效评价从项目决策、项目过程、项目产出、项目效益四个维度进行评价。评价对象为项目目标实施情况，  评价核心为资金的支出完成情况和项目的产出效益。</w:t>
      </w:r>
    </w:p>
    <w:p>
      <w:pPr>
        <w:spacing w:line="560" w:lineRule="exact"/>
        <w:ind w:firstLine="708" w:firstLineChars="200"/>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pacing w:val="17"/>
          <w:sz w:val="32"/>
          <w:szCs w:val="32"/>
          <w:highlight w:val="none"/>
        </w:rPr>
        <w:t>本次评价指标中，既有定性指标又有定量指标，各类指标因考核内容不同和客观标准不同存在较大差异，因此核定具体指标时采用了不同方法，具体评价方法如下：</w:t>
      </w:r>
      <w:r>
        <w:rPr>
          <w:rFonts w:hint="default" w:ascii="Times New Roman" w:hAnsi="Times New Roman" w:eastAsia="仿宋_GB2312" w:cs="Times New Roman"/>
          <w:color w:val="auto"/>
          <w:sz w:val="32"/>
          <w:szCs w:val="32"/>
          <w:highlight w:val="none"/>
          <w:lang w:val="en-US" w:eastAsia="zh-CN"/>
        </w:rPr>
        <w:t>因该项</w:t>
      </w:r>
      <w:r>
        <w:rPr>
          <w:rFonts w:hint="default" w:ascii="Times New Roman" w:hAnsi="Times New Roman" w:eastAsia="仿宋_GB2312" w:cs="Times New Roman"/>
          <w:color w:val="auto"/>
          <w:sz w:val="32"/>
          <w:szCs w:val="32"/>
          <w:lang w:val="en-US" w:eastAsia="zh-CN"/>
        </w:rPr>
        <w:t>目的性质和实施特点，该项目绩效评估方法</w:t>
      </w:r>
      <w:r>
        <w:rPr>
          <w:rFonts w:hint="default" w:ascii="Times New Roman" w:hAnsi="Times New Roman" w:eastAsia="仿宋_GB2312" w:cs="Times New Roman"/>
          <w:color w:val="auto"/>
          <w:sz w:val="32"/>
          <w:szCs w:val="32"/>
        </w:rPr>
        <w:t>采用成本效</w:t>
      </w:r>
      <w:r>
        <w:rPr>
          <w:rFonts w:hint="default" w:ascii="Times New Roman" w:hAnsi="Times New Roman" w:eastAsia="仿宋_GB2312" w:cs="Times New Roman"/>
          <w:color w:val="auto"/>
          <w:sz w:val="32"/>
          <w:szCs w:val="32"/>
          <w:lang w:val="en-US" w:eastAsia="zh-CN"/>
        </w:rPr>
        <w:t>益</w:t>
      </w:r>
      <w:r>
        <w:rPr>
          <w:rFonts w:hint="default" w:ascii="Times New Roman" w:hAnsi="Times New Roman" w:eastAsia="仿宋_GB2312" w:cs="Times New Roman"/>
          <w:color w:val="auto"/>
          <w:sz w:val="32"/>
          <w:szCs w:val="32"/>
        </w:rPr>
        <w:t>分析法，</w:t>
      </w:r>
      <w:r>
        <w:rPr>
          <w:rFonts w:hint="default" w:ascii="Times New Roman" w:hAnsi="Times New Roman" w:eastAsia="仿宋_GB2312" w:cs="Times New Roman"/>
          <w:color w:val="auto"/>
          <w:kern w:val="0"/>
          <w:sz w:val="32"/>
          <w:szCs w:val="32"/>
          <w:u w:val="none" w:color="auto"/>
          <w:lang w:val="en-US" w:eastAsia="zh-CN"/>
        </w:rPr>
        <w:t>通过将项目的预算支出安排与预期效益进行对比，寻求以最小成本获取最大收益的投入方式。</w:t>
      </w:r>
      <w:r>
        <w:rPr>
          <w:rFonts w:hint="default" w:ascii="Times New Roman" w:hAnsi="Times New Roman" w:eastAsia="仿宋_GB2312" w:cs="Times New Roman"/>
          <w:color w:val="auto"/>
          <w:sz w:val="32"/>
          <w:szCs w:val="32"/>
        </w:rPr>
        <w:t>成本效</w:t>
      </w:r>
      <w:r>
        <w:rPr>
          <w:rFonts w:hint="default" w:ascii="Times New Roman" w:hAnsi="Times New Roman" w:eastAsia="仿宋_GB2312" w:cs="Times New Roman"/>
          <w:color w:val="auto"/>
          <w:sz w:val="32"/>
          <w:szCs w:val="32"/>
          <w:lang w:val="en-US" w:eastAsia="zh-CN"/>
        </w:rPr>
        <w:t>益</w:t>
      </w:r>
      <w:r>
        <w:rPr>
          <w:rFonts w:hint="default" w:ascii="Times New Roman" w:hAnsi="Times New Roman" w:eastAsia="仿宋_GB2312" w:cs="Times New Roman"/>
          <w:color w:val="auto"/>
          <w:sz w:val="32"/>
          <w:szCs w:val="32"/>
        </w:rPr>
        <w:t>分析法主要是分析效</w:t>
      </w:r>
      <w:r>
        <w:rPr>
          <w:rFonts w:hint="default" w:ascii="Times New Roman" w:hAnsi="Times New Roman" w:eastAsia="仿宋_GB2312" w:cs="Times New Roman"/>
          <w:color w:val="auto"/>
          <w:sz w:val="32"/>
          <w:szCs w:val="32"/>
          <w:lang w:val="en-US" w:eastAsia="zh-CN"/>
        </w:rPr>
        <w:t>益</w:t>
      </w:r>
      <w:r>
        <w:rPr>
          <w:rFonts w:hint="default" w:ascii="Times New Roman" w:hAnsi="Times New Roman" w:eastAsia="仿宋_GB2312" w:cs="Times New Roman"/>
          <w:color w:val="auto"/>
          <w:sz w:val="32"/>
          <w:szCs w:val="32"/>
        </w:rPr>
        <w:t>的单位成本，即为获得一定的效用而</w:t>
      </w:r>
      <w:r>
        <w:rPr>
          <w:rFonts w:hint="eastAsia" w:eastAsia="仿宋_GB2312" w:cs="Times New Roman"/>
          <w:color w:val="auto"/>
          <w:sz w:val="32"/>
          <w:szCs w:val="32"/>
          <w:lang w:val="en-US" w:eastAsia="zh-CN"/>
        </w:rPr>
        <w:t>必须</w:t>
      </w:r>
      <w:r>
        <w:rPr>
          <w:rFonts w:hint="default" w:ascii="Times New Roman" w:hAnsi="Times New Roman" w:eastAsia="仿宋_GB2312" w:cs="Times New Roman"/>
          <w:color w:val="auto"/>
          <w:sz w:val="32"/>
          <w:szCs w:val="32"/>
        </w:rPr>
        <w:t>耗费的成本，以及节约的成本，即分析净效益。若有功能或效益相同的多项方案，自然应选用单位成本最低者。</w:t>
      </w:r>
    </w:p>
    <w:p>
      <w:pPr>
        <w:pStyle w:val="27"/>
        <w:wordWrap/>
        <w:adjustRightInd/>
        <w:spacing w:line="560" w:lineRule="exact"/>
        <w:ind w:left="425" w:firstLine="0" w:firstLineChars="0"/>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成本效</w:t>
      </w:r>
      <w:r>
        <w:rPr>
          <w:rFonts w:hint="default" w:ascii="Times New Roman" w:hAnsi="Times New Roman" w:eastAsia="仿宋_GB2312" w:cs="Times New Roman"/>
          <w:color w:val="auto"/>
          <w:sz w:val="32"/>
          <w:szCs w:val="32"/>
          <w:lang w:val="en-US" w:eastAsia="zh-CN"/>
        </w:rPr>
        <w:t>益</w:t>
      </w:r>
      <w:r>
        <w:rPr>
          <w:rFonts w:hint="default" w:ascii="Times New Roman" w:hAnsi="Times New Roman" w:eastAsia="仿宋_GB2312" w:cs="Times New Roman"/>
          <w:color w:val="auto"/>
          <w:sz w:val="32"/>
          <w:szCs w:val="32"/>
        </w:rPr>
        <w:t>分析有三种情况：</w:t>
      </w:r>
    </w:p>
    <w:p>
      <w:pPr>
        <w:pStyle w:val="27"/>
        <w:wordWrap/>
        <w:adjustRightInd/>
        <w:spacing w:line="560" w:lineRule="exact"/>
        <w:ind w:left="425" w:firstLine="0" w:firstLineChars="0"/>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（1）当成本相同时，应选择效</w:t>
      </w:r>
      <w:r>
        <w:rPr>
          <w:rFonts w:hint="default" w:ascii="Times New Roman" w:hAnsi="Times New Roman" w:eastAsia="仿宋_GB2312" w:cs="Times New Roman"/>
          <w:color w:val="auto"/>
          <w:sz w:val="32"/>
          <w:szCs w:val="32"/>
          <w:lang w:val="en-US" w:eastAsia="zh-CN"/>
        </w:rPr>
        <w:t>益</w:t>
      </w:r>
      <w:r>
        <w:rPr>
          <w:rFonts w:hint="default" w:ascii="Times New Roman" w:hAnsi="Times New Roman" w:eastAsia="仿宋_GB2312" w:cs="Times New Roman"/>
          <w:color w:val="auto"/>
          <w:sz w:val="32"/>
          <w:szCs w:val="32"/>
        </w:rPr>
        <w:t>高的方案；</w:t>
      </w:r>
    </w:p>
    <w:p>
      <w:pPr>
        <w:pStyle w:val="27"/>
        <w:wordWrap/>
        <w:adjustRightInd/>
        <w:spacing w:line="560" w:lineRule="exact"/>
        <w:ind w:left="425" w:firstLine="0" w:firstLineChars="0"/>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（2）当效</w:t>
      </w:r>
      <w:r>
        <w:rPr>
          <w:rFonts w:hint="default" w:ascii="Times New Roman" w:hAnsi="Times New Roman" w:eastAsia="仿宋_GB2312" w:cs="Times New Roman"/>
          <w:color w:val="auto"/>
          <w:sz w:val="32"/>
          <w:szCs w:val="32"/>
          <w:lang w:val="en-US" w:eastAsia="zh-CN"/>
        </w:rPr>
        <w:t>益</w:t>
      </w:r>
      <w:r>
        <w:rPr>
          <w:rFonts w:hint="default" w:ascii="Times New Roman" w:hAnsi="Times New Roman" w:eastAsia="仿宋_GB2312" w:cs="Times New Roman"/>
          <w:color w:val="auto"/>
          <w:sz w:val="32"/>
          <w:szCs w:val="32"/>
        </w:rPr>
        <w:t>相同时，应选择成本低的方案；</w:t>
      </w:r>
    </w:p>
    <w:p>
      <w:pPr>
        <w:pStyle w:val="27"/>
        <w:wordWrap/>
        <w:adjustRightInd/>
        <w:spacing w:line="560" w:lineRule="exact"/>
        <w:ind w:left="425" w:firstLine="0" w:firstLineChars="0"/>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（3）当效</w:t>
      </w:r>
      <w:r>
        <w:rPr>
          <w:rFonts w:hint="default" w:ascii="Times New Roman" w:hAnsi="Times New Roman" w:eastAsia="仿宋_GB2312" w:cs="Times New Roman"/>
          <w:color w:val="auto"/>
          <w:sz w:val="32"/>
          <w:szCs w:val="32"/>
          <w:lang w:val="en-US" w:eastAsia="zh-CN"/>
        </w:rPr>
        <w:t>益</w:t>
      </w:r>
      <w:r>
        <w:rPr>
          <w:rFonts w:hint="default" w:ascii="Times New Roman" w:hAnsi="Times New Roman" w:eastAsia="仿宋_GB2312" w:cs="Times New Roman"/>
          <w:color w:val="auto"/>
          <w:sz w:val="32"/>
          <w:szCs w:val="32"/>
        </w:rPr>
        <w:t>提高而成本加大时，应选择增效的单位追加成本低的方案。</w:t>
      </w:r>
    </w:p>
    <w:p>
      <w:pPr>
        <w:pStyle w:val="27"/>
        <w:wordWrap/>
        <w:adjustRightInd/>
        <w:spacing w:line="560" w:lineRule="exact"/>
        <w:ind w:left="425" w:firstLine="0" w:firstLineChars="0"/>
        <w:rPr>
          <w:rFonts w:hint="default" w:ascii="Times New Roman" w:hAnsi="Times New Roman" w:eastAsia="仿宋_GB2312" w:cs="Times New Roman"/>
          <w:color w:val="auto"/>
          <w:spacing w:val="17"/>
          <w:sz w:val="32"/>
          <w:szCs w:val="32"/>
          <w:highlight w:val="none"/>
        </w:rPr>
      </w:pPr>
      <w:r>
        <w:rPr>
          <w:rFonts w:hint="default" w:ascii="Times New Roman" w:hAnsi="Times New Roman" w:eastAsia="仿宋_GB2312" w:cs="Times New Roman"/>
          <w:color w:val="auto"/>
          <w:sz w:val="32"/>
          <w:szCs w:val="32"/>
          <w:lang w:val="en-US" w:eastAsia="zh-CN"/>
        </w:rPr>
        <w:t xml:space="preserve">     该项目</w:t>
      </w:r>
      <w:r>
        <w:rPr>
          <w:rFonts w:hint="default" w:ascii="Times New Roman" w:hAnsi="Times New Roman" w:eastAsia="仿宋_GB2312" w:cs="Times New Roman"/>
          <w:color w:val="auto"/>
          <w:sz w:val="32"/>
          <w:szCs w:val="32"/>
        </w:rPr>
        <w:t>成本效</w:t>
      </w:r>
      <w:r>
        <w:rPr>
          <w:rFonts w:hint="default" w:ascii="Times New Roman" w:hAnsi="Times New Roman" w:eastAsia="仿宋_GB2312" w:cs="Times New Roman"/>
          <w:color w:val="auto"/>
          <w:sz w:val="32"/>
          <w:szCs w:val="32"/>
          <w:lang w:val="en-US" w:eastAsia="zh-CN"/>
        </w:rPr>
        <w:t>益</w:t>
      </w:r>
      <w:r>
        <w:rPr>
          <w:rFonts w:hint="default" w:ascii="Times New Roman" w:hAnsi="Times New Roman" w:eastAsia="仿宋_GB2312" w:cs="Times New Roman"/>
          <w:color w:val="auto"/>
          <w:sz w:val="32"/>
          <w:szCs w:val="32"/>
        </w:rPr>
        <w:t>分析</w:t>
      </w:r>
      <w:r>
        <w:rPr>
          <w:rFonts w:hint="default" w:ascii="Times New Roman" w:hAnsi="Times New Roman" w:eastAsia="仿宋_GB2312" w:cs="Times New Roman"/>
          <w:color w:val="auto"/>
          <w:sz w:val="32"/>
          <w:szCs w:val="32"/>
          <w:lang w:val="en-US" w:eastAsia="zh-CN"/>
        </w:rPr>
        <w:t>选用第二种方案。</w:t>
      </w:r>
    </w:p>
    <w:p>
      <w:pPr>
        <w:pStyle w:val="16"/>
        <w:widowControl w:val="0"/>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rPr>
      </w:pPr>
      <w:r>
        <w:rPr>
          <w:rFonts w:hint="default" w:ascii="Times New Roman" w:hAnsi="Times New Roman" w:eastAsia="仿宋_GB2312" w:cs="Times New Roman"/>
          <w:b w:val="0"/>
          <w:bCs w:val="0"/>
          <w:color w:val="auto"/>
          <w:highlight w:val="none"/>
        </w:rPr>
        <w:t>4</w:t>
      </w:r>
      <w:r>
        <w:rPr>
          <w:rFonts w:hint="default" w:ascii="Times New Roman" w:hAnsi="Times New Roman" w:eastAsia="仿宋_GB2312" w:cs="Times New Roman"/>
          <w:b/>
          <w:bCs/>
          <w:color w:val="auto"/>
          <w:sz w:val="32"/>
          <w:szCs w:val="32"/>
          <w:highlight w:val="none"/>
          <w:lang w:val="en-US" w:eastAsia="zh-CN"/>
        </w:rPr>
        <w:t>.</w:t>
      </w:r>
      <w:r>
        <w:rPr>
          <w:rFonts w:hint="default" w:ascii="Times New Roman" w:hAnsi="Times New Roman" w:eastAsia="仿宋_GB2312" w:cs="Times New Roman"/>
          <w:b w:val="0"/>
          <w:bCs w:val="0"/>
          <w:color w:val="auto"/>
          <w:highlight w:val="none"/>
        </w:rPr>
        <w:t>评价标准</w:t>
      </w:r>
    </w:p>
    <w:p>
      <w:pPr>
        <w:pStyle w:val="16"/>
        <w:widowControl w:val="0"/>
        <w:spacing w:before="0" w:after="0" w:line="560" w:lineRule="exact"/>
        <w:ind w:firstLine="640" w:firstLineChars="200"/>
        <w:jc w:val="both"/>
        <w:outlineLvl w:val="9"/>
        <w:rPr>
          <w:rFonts w:hint="default" w:ascii="Times New Roman" w:hAnsi="Times New Roman" w:eastAsia="仿宋_GB2312" w:cs="Times New Roman"/>
          <w:b w:val="0"/>
          <w:bCs w:val="0"/>
          <w:color w:val="auto"/>
          <w:lang w:eastAsia="zh-CN"/>
        </w:rPr>
      </w:pPr>
      <w:r>
        <w:rPr>
          <w:rFonts w:hint="default" w:ascii="Times New Roman" w:hAnsi="Times New Roman" w:eastAsia="仿宋_GB2312" w:cs="Times New Roman"/>
          <w:b w:val="0"/>
          <w:bCs w:val="0"/>
          <w:color w:val="auto"/>
        </w:rPr>
        <w:t>绩效评价标准通常包括计划标准、行业标准、历史标准等，用于对绩效指标完成情况进行比较、分析、评价。本次评价主要采用了</w:t>
      </w:r>
      <w:r>
        <w:rPr>
          <w:rFonts w:hint="eastAsia" w:ascii="Times New Roman" w:hAnsi="Times New Roman" w:eastAsia="仿宋_GB2312" w:cs="Times New Roman"/>
          <w:b w:val="0"/>
          <w:bCs w:val="0"/>
          <w:color w:val="auto"/>
          <w:highlight w:val="none"/>
          <w:lang w:val="en-US" w:eastAsia="zh-CN"/>
        </w:rPr>
        <w:t>计划</w:t>
      </w:r>
      <w:r>
        <w:rPr>
          <w:rFonts w:hint="default" w:ascii="Times New Roman" w:hAnsi="Times New Roman" w:eastAsia="仿宋_GB2312" w:cs="Times New Roman"/>
          <w:b w:val="0"/>
          <w:bCs w:val="0"/>
          <w:color w:val="auto"/>
        </w:rPr>
        <w:t>标准。</w:t>
      </w:r>
    </w:p>
    <w:p>
      <w:pPr>
        <w:pStyle w:val="16"/>
        <w:numPr>
          <w:ilvl w:val="0"/>
          <w:numId w:val="3"/>
        </w:numPr>
        <w:spacing w:before="0" w:after="0" w:line="560" w:lineRule="exact"/>
        <w:ind w:firstLine="711" w:firstLineChars="200"/>
        <w:jc w:val="both"/>
        <w:rPr>
          <w:rFonts w:hint="default" w:ascii="Times New Roman" w:hAnsi="Times New Roman" w:eastAsia="楷体" w:cs="Times New Roman"/>
          <w:color w:val="auto"/>
          <w:spacing w:val="17"/>
        </w:rPr>
      </w:pPr>
      <w:r>
        <w:rPr>
          <w:rFonts w:hint="default" w:ascii="Times New Roman" w:hAnsi="Times New Roman" w:eastAsia="楷体" w:cs="Times New Roman"/>
          <w:color w:val="auto"/>
          <w:spacing w:val="17"/>
        </w:rPr>
        <w:t>绩效评价工作过程</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val="en-US" w:eastAsia="zh-CN"/>
        </w:rPr>
        <w:t>1.</w:t>
      </w:r>
      <w:r>
        <w:rPr>
          <w:rFonts w:hint="default" w:ascii="Times New Roman" w:hAnsi="Times New Roman" w:eastAsia="仿宋_GB2312" w:cs="Times New Roman"/>
          <w:color w:val="auto"/>
          <w:sz w:val="32"/>
          <w:szCs w:val="32"/>
          <w:highlight w:val="none"/>
        </w:rPr>
        <w:t>前期准备与规划</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在项目绩效评价工作启动之初，成立了专门的评价工作小组，小组成员由财务专家、项目管理专业人员及相关领域技术骨干组成，确保从多角度、全方位对项目绩效进行评价。同时，明确了评价工作的目标、范围、重点及时间安排，制定了详细的工作计划，为评价工作的顺利开展奠定了坚实基础。</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val="en-US" w:eastAsia="zh-CN"/>
        </w:rPr>
        <w:t>2.</w:t>
      </w:r>
      <w:r>
        <w:rPr>
          <w:rFonts w:hint="default" w:ascii="Times New Roman" w:hAnsi="Times New Roman" w:eastAsia="仿宋_GB2312" w:cs="Times New Roman"/>
          <w:color w:val="auto"/>
          <w:sz w:val="32"/>
          <w:szCs w:val="32"/>
          <w:highlight w:val="none"/>
          <w:lang w:eastAsia="zh-CN"/>
        </w:rPr>
        <w:t>指标体系构建</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依据项目的性质、目标以及预期成果，构建了科学合理的绩效评价指标体系。该指标体系涵盖了</w:t>
      </w:r>
      <w:r>
        <w:rPr>
          <w:rFonts w:hint="default" w:ascii="Times New Roman" w:hAnsi="Times New Roman" w:eastAsia="仿宋_GB2312" w:cs="Times New Roman"/>
          <w:color w:val="auto"/>
          <w:spacing w:val="17"/>
          <w:sz w:val="32"/>
          <w:szCs w:val="32"/>
          <w:highlight w:val="none"/>
        </w:rPr>
        <w:t>项目决策、项目过程、项目产出、项目效益四个维度</w:t>
      </w:r>
      <w:r>
        <w:rPr>
          <w:rFonts w:hint="default" w:ascii="Times New Roman" w:hAnsi="Times New Roman" w:eastAsia="仿宋_GB2312" w:cs="Times New Roman"/>
          <w:color w:val="auto"/>
          <w:sz w:val="32"/>
          <w:szCs w:val="32"/>
          <w:highlight w:val="none"/>
          <w:lang w:eastAsia="zh-CN"/>
        </w:rPr>
        <w:t>，选取了具有代表性和可衡量性的关键指标，并为每个指标设定了明确的评价标准与权重，确保评价结果能够全面、准确地反映项目的绩效状况。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val="en-US" w:eastAsia="zh-CN"/>
        </w:rPr>
        <w:t>3.</w:t>
      </w:r>
      <w:r>
        <w:rPr>
          <w:rFonts w:hint="default" w:ascii="Times New Roman" w:hAnsi="Times New Roman" w:eastAsia="仿宋_GB2312" w:cs="Times New Roman"/>
          <w:color w:val="auto"/>
          <w:sz w:val="32"/>
          <w:szCs w:val="32"/>
          <w:highlight w:val="none"/>
          <w:lang w:eastAsia="zh-CN"/>
        </w:rPr>
        <w:t>数据收集与整理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广泛收集与项目相关的各类数据，包括财务报表、项目文档、业务数据、用户反馈等。在数据收集过程中，注重数据的质量与完整性，对缺失或异常的数据进行了合理的处理和补充。随后，对收集到的数据进行了系统的整理与分类，为后续的数据分析提供了有力支持。</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val="en-US" w:eastAsia="zh-CN"/>
        </w:rPr>
        <w:t>4.</w:t>
      </w:r>
      <w:r>
        <w:rPr>
          <w:rFonts w:hint="default" w:ascii="Times New Roman" w:hAnsi="Times New Roman" w:eastAsia="仿宋_GB2312" w:cs="Times New Roman"/>
          <w:color w:val="auto"/>
          <w:sz w:val="32"/>
          <w:szCs w:val="32"/>
          <w:highlight w:val="none"/>
          <w:lang w:eastAsia="zh-CN"/>
        </w:rPr>
        <w:t>数据分析与评估</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val="en-US" w:eastAsia="zh-CN"/>
        </w:rPr>
        <w:t>5.</w:t>
      </w:r>
      <w:r>
        <w:rPr>
          <w:rFonts w:hint="default" w:ascii="Times New Roman" w:hAnsi="Times New Roman" w:eastAsia="仿宋_GB2312" w:cs="Times New Roman"/>
          <w:color w:val="auto"/>
          <w:sz w:val="32"/>
          <w:szCs w:val="32"/>
          <w:highlight w:val="none"/>
          <w:lang w:eastAsia="zh-CN"/>
        </w:rPr>
        <w:t>报告撰写与反馈</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val="en-US" w:eastAsia="zh-CN"/>
        </w:rPr>
        <w:t>6.</w:t>
      </w:r>
      <w:r>
        <w:rPr>
          <w:rFonts w:hint="default" w:ascii="Times New Roman" w:hAnsi="Times New Roman" w:eastAsia="仿宋_GB2312" w:cs="Times New Roman"/>
          <w:color w:val="auto"/>
          <w:sz w:val="32"/>
          <w:szCs w:val="32"/>
          <w:highlight w:val="none"/>
          <w:lang w:eastAsia="zh-CN"/>
        </w:rPr>
        <w:t>后续跟踪与改进</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p>
    <w:p>
      <w:pPr>
        <w:numPr>
          <w:ilvl w:val="0"/>
          <w:numId w:val="4"/>
        </w:numPr>
        <w:spacing w:line="560" w:lineRule="exact"/>
        <w:ind w:firstLine="640" w:firstLineChars="200"/>
        <w:rPr>
          <w:rFonts w:hint="default" w:ascii="Times New Roman" w:hAnsi="Times New Roman" w:eastAsia="黑体" w:cs="Times New Roman"/>
          <w:color w:val="auto"/>
          <w:sz w:val="32"/>
          <w:szCs w:val="32"/>
        </w:rPr>
      </w:pPr>
      <w:r>
        <w:rPr>
          <w:rFonts w:hint="default" w:ascii="Times New Roman" w:hAnsi="Times New Roman" w:eastAsia="黑体" w:cs="Times New Roman"/>
          <w:color w:val="auto"/>
          <w:sz w:val="32"/>
          <w:szCs w:val="32"/>
        </w:rPr>
        <w:t>综合评价情况及评价结论（附相关评分表）</w:t>
      </w:r>
    </w:p>
    <w:p>
      <w:pPr>
        <w:pStyle w:val="16"/>
        <w:keepNext w:val="0"/>
        <w:keepLines w:val="0"/>
        <w:pageBreakBefore w:val="0"/>
        <w:widowControl/>
        <w:kinsoku/>
        <w:wordWrap/>
        <w:overflowPunct/>
        <w:topLinePunct w:val="0"/>
        <w:autoSpaceDE/>
        <w:autoSpaceDN/>
        <w:bidi w:val="0"/>
        <w:adjustRightInd/>
        <w:snapToGrid/>
        <w:spacing w:before="0" w:after="0" w:line="560" w:lineRule="exact"/>
        <w:ind w:firstLine="643" w:firstLineChars="200"/>
        <w:jc w:val="both"/>
        <w:textAlignment w:val="auto"/>
        <w:rPr>
          <w:rFonts w:hint="default" w:ascii="Times New Roman" w:hAnsi="Times New Roman" w:eastAsia="楷体_GB2312" w:cs="Times New Roman"/>
          <w:color w:val="auto"/>
          <w:lang w:val="en-US" w:eastAsia="zh-CN"/>
        </w:rPr>
      </w:pPr>
      <w:r>
        <w:rPr>
          <w:rFonts w:hint="default" w:ascii="Times New Roman" w:hAnsi="Times New Roman" w:eastAsia="楷体_GB2312" w:cs="Times New Roman"/>
          <w:color w:val="auto"/>
          <w:lang w:eastAsia="zh-CN"/>
        </w:rPr>
        <w:t>（</w:t>
      </w:r>
      <w:r>
        <w:rPr>
          <w:rFonts w:hint="default" w:ascii="Times New Roman" w:hAnsi="Times New Roman" w:eastAsia="楷体_GB2312" w:cs="Times New Roman"/>
          <w:color w:val="auto"/>
          <w:lang w:val="en-US" w:eastAsia="zh-CN"/>
        </w:rPr>
        <w:t>一</w:t>
      </w:r>
      <w:r>
        <w:rPr>
          <w:rFonts w:hint="default" w:ascii="Times New Roman" w:hAnsi="Times New Roman" w:eastAsia="楷体_GB2312" w:cs="Times New Roman"/>
          <w:color w:val="auto"/>
          <w:lang w:eastAsia="zh-CN"/>
        </w:rPr>
        <w:t>）</w:t>
      </w:r>
      <w:r>
        <w:rPr>
          <w:rFonts w:hint="default" w:ascii="Times New Roman" w:hAnsi="Times New Roman" w:eastAsia="楷体_GB2312" w:cs="Times New Roman"/>
          <w:color w:val="auto"/>
          <w:lang w:val="en-US" w:eastAsia="zh-CN"/>
        </w:rPr>
        <w:t>评价情况</w:t>
      </w:r>
    </w:p>
    <w:p>
      <w:pPr>
        <w:pStyle w:val="15"/>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color w:val="auto"/>
          <w:sz w:val="32"/>
          <w:szCs w:val="32"/>
          <w:highlight w:val="green"/>
        </w:rPr>
      </w:pPr>
      <w:r>
        <w:rPr>
          <w:rFonts w:hint="default" w:ascii="Times New Roman" w:hAnsi="Times New Roman" w:eastAsia="仿宋_GB2312" w:cs="Times New Roman"/>
          <w:color w:val="auto"/>
          <w:sz w:val="32"/>
          <w:szCs w:val="32"/>
          <w:highlight w:val="none"/>
        </w:rPr>
        <w:t>本项目的综合评价基于对项目各方面绩效的深入分析与评估。从项目目标的达成情况来看，</w:t>
      </w:r>
      <w:r>
        <w:rPr>
          <w:rFonts w:hint="default" w:ascii="Times New Roman" w:hAnsi="Times New Roman" w:eastAsia="仿宋_GB2312" w:cs="Times New Roman"/>
          <w:color w:val="auto"/>
          <w:sz w:val="32"/>
          <w:szCs w:val="32"/>
          <w:highlight w:val="none"/>
          <w:lang w:eastAsia="zh-CN"/>
        </w:rPr>
        <w:t>资产清查级核定</w:t>
      </w:r>
      <w:r>
        <w:rPr>
          <w:rFonts w:hint="default" w:ascii="Times New Roman" w:hAnsi="Times New Roman" w:eastAsia="仿宋_GB2312" w:cs="Times New Roman"/>
          <w:color w:val="auto"/>
          <w:sz w:val="32"/>
          <w:szCs w:val="32"/>
          <w:highlight w:val="none"/>
        </w:rPr>
        <w:t>在</w:t>
      </w:r>
      <w:r>
        <w:rPr>
          <w:rFonts w:hint="default" w:ascii="Times New Roman" w:hAnsi="Times New Roman" w:eastAsia="仿宋_GB2312" w:cs="Times New Roman"/>
          <w:color w:val="auto"/>
          <w:sz w:val="32"/>
          <w:szCs w:val="32"/>
          <w:highlight w:val="none"/>
          <w:lang w:eastAsia="zh-CN"/>
        </w:rPr>
        <w:t>资产清查保证了资产的账实相符</w:t>
      </w:r>
      <w:r>
        <w:rPr>
          <w:rFonts w:hint="default" w:ascii="Times New Roman" w:hAnsi="Times New Roman" w:eastAsia="仿宋_GB2312" w:cs="Times New Roman"/>
          <w:color w:val="auto"/>
          <w:sz w:val="32"/>
          <w:szCs w:val="32"/>
          <w:highlight w:val="none"/>
        </w:rPr>
        <w:t>、</w:t>
      </w:r>
      <w:r>
        <w:rPr>
          <w:rFonts w:hint="default" w:ascii="Times New Roman" w:hAnsi="Times New Roman" w:eastAsia="仿宋_GB2312" w:cs="Times New Roman"/>
          <w:color w:val="auto"/>
          <w:sz w:val="32"/>
          <w:szCs w:val="32"/>
          <w:highlight w:val="none"/>
          <w:lang w:eastAsia="zh-CN"/>
        </w:rPr>
        <w:t>保证了国有资产的安全，优化资产</w:t>
      </w:r>
      <w:r>
        <w:rPr>
          <w:rFonts w:hint="default" w:ascii="Times New Roman" w:hAnsi="Times New Roman" w:eastAsia="仿宋_GB2312" w:cs="Times New Roman"/>
          <w:color w:val="auto"/>
          <w:sz w:val="32"/>
          <w:szCs w:val="32"/>
          <w:highlight w:val="none"/>
        </w:rPr>
        <w:t>等方面表现出色，达到了预期的标准与要求。同时，项目也在</w:t>
      </w:r>
      <w:r>
        <w:rPr>
          <w:rFonts w:hint="default" w:ascii="Times New Roman" w:hAnsi="Times New Roman" w:eastAsia="仿宋_GB2312" w:cs="Times New Roman"/>
          <w:color w:val="auto"/>
          <w:sz w:val="32"/>
          <w:szCs w:val="32"/>
          <w:highlight w:val="none"/>
          <w:lang w:eastAsia="zh-CN"/>
        </w:rPr>
        <w:t>资产报废环节</w:t>
      </w:r>
      <w:r>
        <w:rPr>
          <w:rFonts w:hint="default" w:ascii="Times New Roman" w:hAnsi="Times New Roman" w:eastAsia="仿宋_GB2312" w:cs="Times New Roman"/>
          <w:color w:val="auto"/>
          <w:sz w:val="32"/>
          <w:szCs w:val="32"/>
          <w:highlight w:val="none"/>
        </w:rPr>
        <w:t>取得了显著的成效，如</w:t>
      </w:r>
      <w:r>
        <w:rPr>
          <w:rFonts w:hint="default" w:ascii="Times New Roman" w:hAnsi="Times New Roman" w:eastAsia="仿宋_GB2312" w:cs="Times New Roman"/>
          <w:color w:val="auto"/>
          <w:sz w:val="32"/>
          <w:szCs w:val="32"/>
          <w:highlight w:val="none"/>
          <w:lang w:eastAsia="zh-CN"/>
        </w:rPr>
        <w:t>出具经济鉴证报告，申请资产报废</w:t>
      </w:r>
      <w:r>
        <w:rPr>
          <w:rFonts w:hint="eastAsia" w:eastAsia="仿宋_GB2312" w:cs="Times New Roman"/>
          <w:color w:val="auto"/>
          <w:sz w:val="32"/>
          <w:szCs w:val="32"/>
          <w:highlight w:val="none"/>
          <w:lang w:val="en-US" w:eastAsia="zh-CN"/>
        </w:rPr>
        <w:t>及</w:t>
      </w:r>
      <w:r>
        <w:rPr>
          <w:rFonts w:hint="default" w:ascii="Times New Roman" w:hAnsi="Times New Roman" w:eastAsia="仿宋_GB2312" w:cs="Times New Roman"/>
          <w:color w:val="auto"/>
          <w:sz w:val="32"/>
          <w:szCs w:val="32"/>
          <w:highlight w:val="none"/>
          <w:lang w:eastAsia="zh-CN"/>
        </w:rPr>
        <w:t>核销，对账实不符的资产进行核销</w:t>
      </w:r>
      <w:r>
        <w:rPr>
          <w:rFonts w:hint="default" w:ascii="Times New Roman" w:hAnsi="Times New Roman" w:eastAsia="仿宋_GB2312" w:cs="Times New Roman"/>
          <w:color w:val="auto"/>
          <w:sz w:val="32"/>
          <w:szCs w:val="32"/>
          <w:highlight w:val="none"/>
        </w:rPr>
        <w:t>等。</w:t>
      </w:r>
    </w:p>
    <w:p>
      <w:pPr>
        <w:pStyle w:val="15"/>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在项目管理方面，</w:t>
      </w:r>
      <w:r>
        <w:rPr>
          <w:rFonts w:hint="default" w:ascii="Times New Roman" w:hAnsi="Times New Roman" w:eastAsia="仿宋_GB2312" w:cs="Times New Roman"/>
          <w:color w:val="auto"/>
          <w:sz w:val="32"/>
          <w:szCs w:val="32"/>
          <w:highlight w:val="none"/>
          <w:lang w:val="en-US" w:eastAsia="zh-CN"/>
        </w:rPr>
        <w:t>塔城地区无线电管理中心</w:t>
      </w:r>
      <w:r>
        <w:rPr>
          <w:rFonts w:hint="default" w:ascii="Times New Roman" w:hAnsi="Times New Roman" w:eastAsia="仿宋_GB2312" w:cs="Times New Roman"/>
          <w:color w:val="auto"/>
          <w:sz w:val="32"/>
          <w:szCs w:val="32"/>
          <w:highlight w:val="none"/>
        </w:rPr>
        <w:t>通过有效的规划、组织与协调，项目得以顺利实施，并在预算与时间上保持了良好的控制。</w:t>
      </w:r>
    </w:p>
    <w:p>
      <w:pPr>
        <w:pStyle w:val="15"/>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rPr>
        <w:t>从项目效益的角度来看，本项目实现了预期的</w:t>
      </w:r>
      <w:r>
        <w:rPr>
          <w:rFonts w:hint="default" w:ascii="Times New Roman" w:hAnsi="Times New Roman" w:eastAsia="仿宋_GB2312" w:cs="Times New Roman"/>
          <w:color w:val="auto"/>
          <w:sz w:val="32"/>
          <w:szCs w:val="32"/>
          <w:highlight w:val="none"/>
          <w:lang w:val="en-US" w:eastAsia="zh-CN"/>
        </w:rPr>
        <w:t>经济效益指标，在保障国有资产完整性上</w:t>
      </w:r>
      <w:r>
        <w:rPr>
          <w:rFonts w:hint="default" w:ascii="Times New Roman" w:hAnsi="Times New Roman" w:eastAsia="仿宋_GB2312" w:cs="Times New Roman"/>
          <w:color w:val="auto"/>
          <w:sz w:val="32"/>
          <w:szCs w:val="32"/>
          <w:highlight w:val="none"/>
        </w:rPr>
        <w:t>产生了积</w:t>
      </w:r>
      <w:r>
        <w:rPr>
          <w:rFonts w:hint="default" w:ascii="Times New Roman" w:hAnsi="Times New Roman" w:eastAsia="仿宋_GB2312" w:cs="Times New Roman"/>
          <w:color w:val="auto"/>
          <w:sz w:val="32"/>
          <w:szCs w:val="32"/>
          <w:highlight w:val="none"/>
          <w:lang w:val="en-US" w:eastAsia="zh-CN"/>
        </w:rPr>
        <w:t>极的影响。清查工作全方位梳理资产信息，纠正资产账实不符问题，完善资产管理流程，确保国有资产安全无流失。尤为关键的是，这一成果有力支撑了无线电管理业务稳定运行，借助详实资产数据，精准配置资源，优化设备采购与维护计划，保障了无线电管理工作高效开展，为广大用户提供更优质服务，切实惠及项目利益相关者，为单位长远发展筑牢坚实根基。综上所述，资产清查及资产核销专项业务在绩效评价中表现出色，达到了项目的预期目标，并在多个方面取得了显著的成效。</w:t>
      </w:r>
    </w:p>
    <w:p>
      <w:pPr>
        <w:pStyle w:val="16"/>
        <w:keepNext w:val="0"/>
        <w:keepLines w:val="0"/>
        <w:pageBreakBefore w:val="0"/>
        <w:widowControl/>
        <w:kinsoku/>
        <w:wordWrap/>
        <w:overflowPunct/>
        <w:topLinePunct w:val="0"/>
        <w:autoSpaceDE/>
        <w:autoSpaceDN/>
        <w:bidi w:val="0"/>
        <w:adjustRightInd/>
        <w:snapToGrid/>
        <w:spacing w:before="0" w:after="0" w:line="560" w:lineRule="exact"/>
        <w:ind w:firstLine="643" w:firstLineChars="200"/>
        <w:jc w:val="both"/>
        <w:textAlignment w:val="auto"/>
        <w:rPr>
          <w:rFonts w:hint="default" w:ascii="Times New Roman" w:hAnsi="Times New Roman" w:eastAsia="楷体_GB2312" w:cs="Times New Roman"/>
          <w:color w:val="auto"/>
          <w:lang w:val="en-US" w:eastAsia="zh-CN"/>
        </w:rPr>
      </w:pPr>
      <w:r>
        <w:rPr>
          <w:rFonts w:hint="default" w:ascii="Times New Roman" w:hAnsi="Times New Roman" w:eastAsia="楷体_GB2312" w:cs="Times New Roman"/>
          <w:color w:val="auto"/>
          <w:lang w:eastAsia="zh-CN"/>
        </w:rPr>
        <w:t>（</w:t>
      </w:r>
      <w:r>
        <w:rPr>
          <w:rFonts w:hint="default" w:ascii="Times New Roman" w:hAnsi="Times New Roman" w:eastAsia="楷体_GB2312" w:cs="Times New Roman"/>
          <w:color w:val="auto"/>
          <w:lang w:val="en-US" w:eastAsia="zh-CN"/>
        </w:rPr>
        <w:t>二</w:t>
      </w:r>
      <w:r>
        <w:rPr>
          <w:rFonts w:hint="default" w:ascii="Times New Roman" w:hAnsi="Times New Roman" w:eastAsia="楷体_GB2312" w:cs="Times New Roman"/>
          <w:color w:val="auto"/>
          <w:lang w:eastAsia="zh-CN"/>
        </w:rPr>
        <w:t>）</w:t>
      </w:r>
      <w:r>
        <w:rPr>
          <w:rFonts w:hint="default" w:ascii="Times New Roman" w:hAnsi="Times New Roman" w:eastAsia="楷体_GB2312" w:cs="Times New Roman"/>
          <w:color w:val="auto"/>
          <w:lang w:val="en-US" w:eastAsia="zh-CN"/>
        </w:rPr>
        <w:t>评价结论</w:t>
      </w:r>
    </w:p>
    <w:p>
      <w:pPr>
        <w:pStyle w:val="16"/>
        <w:widowControl w:val="0"/>
        <w:spacing w:before="0" w:after="0" w:line="560" w:lineRule="exact"/>
        <w:ind w:firstLine="640" w:firstLineChars="200"/>
        <w:jc w:val="both"/>
        <w:outlineLvl w:val="9"/>
        <w:rPr>
          <w:rFonts w:hint="default" w:ascii="Times New Roman" w:hAnsi="Times New Roman" w:eastAsia="仿宋_GB2312" w:cs="Times New Roman"/>
          <w:b w:val="0"/>
          <w:bCs w:val="0"/>
          <w:color w:val="auto"/>
          <w:lang w:eastAsia="zh-CN"/>
        </w:rPr>
      </w:pPr>
      <w:r>
        <w:rPr>
          <w:rFonts w:hint="default" w:ascii="Times New Roman" w:hAnsi="Times New Roman" w:eastAsia="仿宋_GB2312" w:cs="Times New Roman"/>
          <w:b w:val="0"/>
          <w:bCs w:val="0"/>
          <w:color w:val="auto"/>
        </w:rPr>
        <w:t>运用绩效评价组制定的评价指标体系以及财政部《项目支出绩效评价管理办法》（财预〔2020〕10号）文件的评分标准，通过数据采集、问卷调查及访谈等方式，对本项目进行客观评价，最终评分</w:t>
      </w:r>
      <w:r>
        <w:rPr>
          <w:rFonts w:hint="default" w:ascii="Times New Roman" w:hAnsi="Times New Roman" w:eastAsia="仿宋_GB2312" w:cs="Times New Roman"/>
          <w:b w:val="0"/>
          <w:bCs w:val="0"/>
          <w:color w:val="auto"/>
          <w:highlight w:val="none"/>
        </w:rPr>
        <w:t>结果：总得分为</w:t>
      </w:r>
      <w:r>
        <w:rPr>
          <w:rFonts w:hint="eastAsia" w:ascii="Times New Roman" w:hAnsi="Times New Roman" w:eastAsia="仿宋_GB2312" w:cs="Times New Roman"/>
          <w:b w:val="0"/>
          <w:bCs w:val="0"/>
          <w:color w:val="auto"/>
          <w:highlight w:val="none"/>
          <w:lang w:val="en-US" w:eastAsia="zh-CN"/>
        </w:rPr>
        <w:t>100</w:t>
      </w:r>
      <w:r>
        <w:rPr>
          <w:rFonts w:hint="default" w:ascii="Times New Roman" w:hAnsi="Times New Roman" w:eastAsia="仿宋_GB2312" w:cs="Times New Roman"/>
          <w:b w:val="0"/>
          <w:bCs w:val="0"/>
          <w:color w:val="auto"/>
          <w:highlight w:val="none"/>
        </w:rPr>
        <w:t xml:space="preserve">分，属于“优”。其中，项目决策类指标权重为20分，得分为 </w:t>
      </w:r>
      <w:r>
        <w:rPr>
          <w:rFonts w:hint="default" w:ascii="Times New Roman" w:hAnsi="Times New Roman" w:eastAsia="仿宋_GB2312" w:cs="Times New Roman"/>
          <w:b w:val="0"/>
          <w:bCs w:val="0"/>
          <w:color w:val="auto"/>
          <w:highlight w:val="none"/>
          <w:lang w:val="en-US" w:eastAsia="zh-CN"/>
        </w:rPr>
        <w:t>20</w:t>
      </w:r>
      <w:r>
        <w:rPr>
          <w:rFonts w:hint="default" w:ascii="Times New Roman" w:hAnsi="Times New Roman" w:eastAsia="仿宋_GB2312" w:cs="Times New Roman"/>
          <w:b w:val="0"/>
          <w:bCs w:val="0"/>
          <w:color w:val="auto"/>
          <w:highlight w:val="none"/>
        </w:rPr>
        <w:t xml:space="preserve">分，得分率为 </w:t>
      </w:r>
      <w:r>
        <w:rPr>
          <w:rFonts w:hint="default" w:ascii="Times New Roman" w:hAnsi="Times New Roman" w:eastAsia="仿宋_GB2312" w:cs="Times New Roman"/>
          <w:b w:val="0"/>
          <w:bCs w:val="0"/>
          <w:color w:val="auto"/>
          <w:highlight w:val="none"/>
          <w:lang w:val="en-US" w:eastAsia="zh-CN"/>
        </w:rPr>
        <w:t>100</w:t>
      </w:r>
      <w:r>
        <w:rPr>
          <w:rFonts w:hint="default" w:ascii="Times New Roman" w:hAnsi="Times New Roman" w:eastAsia="仿宋_GB2312" w:cs="Times New Roman"/>
          <w:b w:val="0"/>
          <w:bCs w:val="0"/>
          <w:color w:val="auto"/>
          <w:highlight w:val="none"/>
        </w:rPr>
        <w:t>%。项目过程类指标权重为20分，得分为</w:t>
      </w:r>
      <w:r>
        <w:rPr>
          <w:rFonts w:hint="eastAsia" w:ascii="Times New Roman" w:hAnsi="Times New Roman" w:eastAsia="仿宋_GB2312" w:cs="Times New Roman"/>
          <w:b w:val="0"/>
          <w:bCs w:val="0"/>
          <w:color w:val="auto"/>
          <w:highlight w:val="none"/>
          <w:lang w:val="en-US" w:eastAsia="zh-CN"/>
        </w:rPr>
        <w:t>20</w:t>
      </w:r>
      <w:r>
        <w:rPr>
          <w:rFonts w:hint="default" w:ascii="Times New Roman" w:hAnsi="Times New Roman" w:eastAsia="仿宋_GB2312" w:cs="Times New Roman"/>
          <w:b w:val="0"/>
          <w:bCs w:val="0"/>
          <w:color w:val="auto"/>
          <w:highlight w:val="none"/>
        </w:rPr>
        <w:t>分，得分率为</w:t>
      </w:r>
      <w:r>
        <w:rPr>
          <w:rFonts w:hint="eastAsia" w:ascii="Times New Roman" w:hAnsi="Times New Roman" w:eastAsia="仿宋_GB2312" w:cs="Times New Roman"/>
          <w:b w:val="0"/>
          <w:bCs w:val="0"/>
          <w:color w:val="auto"/>
          <w:highlight w:val="none"/>
          <w:lang w:val="en-US" w:eastAsia="zh-CN"/>
        </w:rPr>
        <w:t>100</w:t>
      </w:r>
      <w:r>
        <w:rPr>
          <w:rFonts w:hint="default" w:ascii="Times New Roman" w:hAnsi="Times New Roman" w:eastAsia="仿宋_GB2312" w:cs="Times New Roman"/>
          <w:b w:val="0"/>
          <w:bCs w:val="0"/>
          <w:color w:val="auto"/>
          <w:highlight w:val="none"/>
        </w:rPr>
        <w:t>%。项目产出类指标权重为40分，得分为</w:t>
      </w:r>
      <w:r>
        <w:rPr>
          <w:rFonts w:hint="default" w:ascii="Times New Roman" w:hAnsi="Times New Roman" w:eastAsia="仿宋_GB2312" w:cs="Times New Roman"/>
          <w:b w:val="0"/>
          <w:bCs w:val="0"/>
          <w:color w:val="auto"/>
          <w:highlight w:val="none"/>
          <w:lang w:val="en-US" w:eastAsia="zh-CN"/>
        </w:rPr>
        <w:t>40</w:t>
      </w:r>
      <w:r>
        <w:rPr>
          <w:rFonts w:hint="default" w:ascii="Times New Roman" w:hAnsi="Times New Roman" w:eastAsia="仿宋_GB2312" w:cs="Times New Roman"/>
          <w:b w:val="0"/>
          <w:bCs w:val="0"/>
          <w:color w:val="auto"/>
          <w:highlight w:val="none"/>
        </w:rPr>
        <w:t>分，得分率为</w:t>
      </w:r>
      <w:r>
        <w:rPr>
          <w:rFonts w:hint="default" w:ascii="Times New Roman" w:hAnsi="Times New Roman" w:eastAsia="仿宋_GB2312" w:cs="Times New Roman"/>
          <w:b w:val="0"/>
          <w:bCs w:val="0"/>
          <w:color w:val="auto"/>
          <w:highlight w:val="none"/>
          <w:lang w:val="en-US" w:eastAsia="zh-CN"/>
        </w:rPr>
        <w:t>100</w:t>
      </w:r>
      <w:r>
        <w:rPr>
          <w:rFonts w:hint="default" w:ascii="Times New Roman" w:hAnsi="Times New Roman" w:eastAsia="仿宋_GB2312" w:cs="Times New Roman"/>
          <w:b w:val="0"/>
          <w:bCs w:val="0"/>
          <w:color w:val="auto"/>
          <w:highlight w:val="none"/>
        </w:rPr>
        <w:t>%。项目效益类指标权重为</w:t>
      </w:r>
      <w:r>
        <w:rPr>
          <w:rFonts w:hint="eastAsia" w:ascii="Times New Roman" w:hAnsi="Times New Roman" w:eastAsia="仿宋_GB2312" w:cs="Times New Roman"/>
          <w:b w:val="0"/>
          <w:bCs w:val="0"/>
          <w:color w:val="auto"/>
          <w:highlight w:val="none"/>
          <w:lang w:val="en-US" w:eastAsia="zh-CN"/>
        </w:rPr>
        <w:t>2</w:t>
      </w:r>
      <w:r>
        <w:rPr>
          <w:rFonts w:hint="default" w:ascii="Times New Roman" w:hAnsi="Times New Roman" w:eastAsia="仿宋_GB2312" w:cs="Times New Roman"/>
          <w:b w:val="0"/>
          <w:bCs w:val="0"/>
          <w:color w:val="auto"/>
          <w:highlight w:val="none"/>
          <w:lang w:val="en-US" w:eastAsia="zh-CN"/>
        </w:rPr>
        <w:t>0</w:t>
      </w:r>
      <w:r>
        <w:rPr>
          <w:rFonts w:hint="default" w:ascii="Times New Roman" w:hAnsi="Times New Roman" w:eastAsia="仿宋_GB2312" w:cs="Times New Roman"/>
          <w:b w:val="0"/>
          <w:bCs w:val="0"/>
          <w:color w:val="auto"/>
          <w:highlight w:val="none"/>
        </w:rPr>
        <w:t>分，得分为</w:t>
      </w:r>
      <w:r>
        <w:rPr>
          <w:rFonts w:hint="default" w:ascii="Times New Roman" w:hAnsi="Times New Roman" w:eastAsia="仿宋_GB2312" w:cs="Times New Roman"/>
          <w:b w:val="0"/>
          <w:bCs w:val="0"/>
          <w:color w:val="auto"/>
          <w:highlight w:val="none"/>
          <w:lang w:val="en-US" w:eastAsia="zh-CN"/>
        </w:rPr>
        <w:t>20</w:t>
      </w:r>
      <w:r>
        <w:rPr>
          <w:rFonts w:hint="default" w:ascii="Times New Roman" w:hAnsi="Times New Roman" w:eastAsia="仿宋_GB2312" w:cs="Times New Roman"/>
          <w:b w:val="0"/>
          <w:bCs w:val="0"/>
          <w:color w:val="auto"/>
          <w:highlight w:val="none"/>
        </w:rPr>
        <w:t>分，得分率为</w:t>
      </w:r>
      <w:r>
        <w:rPr>
          <w:rFonts w:hint="default" w:ascii="Times New Roman" w:hAnsi="Times New Roman" w:eastAsia="仿宋_GB2312" w:cs="Times New Roman"/>
          <w:b w:val="0"/>
          <w:bCs w:val="0"/>
          <w:color w:val="auto"/>
          <w:highlight w:val="none"/>
          <w:lang w:val="en-US" w:eastAsia="zh-CN"/>
        </w:rPr>
        <w:t>100</w:t>
      </w:r>
      <w:r>
        <w:rPr>
          <w:rFonts w:hint="default" w:ascii="Times New Roman" w:hAnsi="Times New Roman" w:eastAsia="仿宋_GB2312" w:cs="Times New Roman"/>
          <w:b w:val="0"/>
          <w:bCs w:val="0"/>
          <w:color w:val="auto"/>
          <w:highlight w:val="none"/>
        </w:rPr>
        <w:t>%。</w:t>
      </w:r>
      <w:r>
        <w:rPr>
          <w:rFonts w:hint="default" w:ascii="Times New Roman" w:hAnsi="Times New Roman" w:eastAsia="仿宋_GB2312" w:cs="Times New Roman"/>
          <w:b w:val="0"/>
          <w:bCs w:val="0"/>
          <w:color w:val="auto"/>
        </w:rPr>
        <w:t>具体打分情况详见：附件1综合评分表</w:t>
      </w:r>
      <w:r>
        <w:rPr>
          <w:rFonts w:hint="default" w:ascii="Times New Roman" w:hAnsi="Times New Roman" w:eastAsia="仿宋_GB2312" w:cs="Times New Roman"/>
          <w:b w:val="0"/>
          <w:bCs w:val="0"/>
          <w:color w:val="auto"/>
          <w:lang w:eastAsia="zh-CN"/>
        </w:rPr>
        <w:t>。</w:t>
      </w:r>
    </w:p>
    <w:p>
      <w:pPr>
        <w:pStyle w:val="16"/>
        <w:keepNext w:val="0"/>
        <w:keepLines w:val="0"/>
        <w:pageBreakBefore w:val="0"/>
        <w:widowControl/>
        <w:kinsoku/>
        <w:wordWrap/>
        <w:overflowPunct/>
        <w:topLinePunct w:val="0"/>
        <w:autoSpaceDE/>
        <w:autoSpaceDN/>
        <w:bidi w:val="0"/>
        <w:adjustRightInd/>
        <w:snapToGrid/>
        <w:spacing w:before="0" w:after="0"/>
        <w:textAlignment w:val="auto"/>
        <w:rPr>
          <w:rFonts w:hint="default" w:ascii="Times New Roman" w:hAnsi="Times New Roman" w:eastAsia="仿宋_GB2312" w:cs="Times New Roman"/>
          <w:color w:val="auto"/>
          <w:sz w:val="21"/>
          <w:szCs w:val="21"/>
        </w:rPr>
      </w:pPr>
      <w:r>
        <w:rPr>
          <w:rFonts w:hint="default" w:ascii="Times New Roman" w:hAnsi="Times New Roman" w:eastAsia="仿宋_GB2312" w:cs="Times New Roman"/>
          <w:color w:val="auto"/>
          <w:sz w:val="21"/>
          <w:szCs w:val="21"/>
        </w:rPr>
        <w:t>表1综合评分表</w:t>
      </w:r>
    </w:p>
    <w:tbl>
      <w:tblPr>
        <w:tblStyle w:val="20"/>
        <w:tblW w:w="7583" w:type="dxa"/>
        <w:jc w:val="center"/>
        <w:tblInd w:w="0" w:type="dxa"/>
        <w:tblLayout w:type="fixed"/>
        <w:tblCellMar>
          <w:top w:w="0" w:type="dxa"/>
          <w:left w:w="108" w:type="dxa"/>
          <w:bottom w:w="0" w:type="dxa"/>
          <w:right w:w="108" w:type="dxa"/>
        </w:tblCellMar>
      </w:tblPr>
      <w:tblGrid>
        <w:gridCol w:w="3137"/>
        <w:gridCol w:w="2168"/>
        <w:gridCol w:w="2278"/>
      </w:tblGrid>
      <w:tr>
        <w:tblPrEx>
          <w:tblLayout w:type="fixed"/>
          <w:tblCellMar>
            <w:top w:w="0" w:type="dxa"/>
            <w:left w:w="108" w:type="dxa"/>
            <w:bottom w:w="0" w:type="dxa"/>
            <w:right w:w="108" w:type="dxa"/>
          </w:tblCellMar>
        </w:tblPrEx>
        <w:trPr>
          <w:trHeight w:val="90" w:hRule="atLeast"/>
          <w:tblHeader/>
          <w:jc w:val="center"/>
        </w:trPr>
        <w:tc>
          <w:tcPr>
            <w:tcW w:w="3137" w:type="dxa"/>
            <w:tcBorders>
              <w:top w:val="single" w:color="auto" w:sz="4" w:space="0"/>
              <w:left w:val="single" w:color="auto" w:sz="4" w:space="0"/>
              <w:bottom w:val="single" w:color="auto" w:sz="4" w:space="0"/>
              <w:right w:val="single" w:color="auto" w:sz="4" w:space="0"/>
            </w:tcBorders>
            <w:shd w:val="clear" w:color="000000" w:fill="BEBEBE" w:themeFill="background1" w:themeFillShade="BF"/>
            <w:vAlign w:val="center"/>
          </w:tcPr>
          <w:p>
            <w:pPr>
              <w:jc w:val="center"/>
              <w:rPr>
                <w:rFonts w:hint="default" w:ascii="Times New Roman" w:hAnsi="Times New Roman" w:eastAsia="仿宋_GB2312" w:cs="Times New Roman"/>
                <w:b/>
                <w:bCs/>
                <w:color w:val="auto"/>
                <w:sz w:val="21"/>
                <w:szCs w:val="21"/>
              </w:rPr>
            </w:pPr>
            <w:r>
              <w:rPr>
                <w:rFonts w:hint="default" w:ascii="Times New Roman" w:hAnsi="Times New Roman" w:eastAsia="仿宋_GB2312" w:cs="Times New Roman"/>
                <w:b/>
                <w:bCs/>
                <w:color w:val="auto"/>
                <w:sz w:val="21"/>
                <w:szCs w:val="21"/>
              </w:rPr>
              <w:t>一级指标</w:t>
            </w:r>
          </w:p>
        </w:tc>
        <w:tc>
          <w:tcPr>
            <w:tcW w:w="216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jc w:val="center"/>
              <w:rPr>
                <w:rFonts w:hint="default" w:ascii="Times New Roman" w:hAnsi="Times New Roman" w:eastAsia="仿宋_GB2312" w:cs="Times New Roman"/>
                <w:b/>
                <w:bCs/>
                <w:color w:val="auto"/>
                <w:sz w:val="21"/>
                <w:szCs w:val="21"/>
              </w:rPr>
            </w:pPr>
            <w:r>
              <w:rPr>
                <w:rFonts w:hint="default" w:ascii="Times New Roman" w:hAnsi="Times New Roman" w:eastAsia="仿宋_GB2312" w:cs="Times New Roman"/>
                <w:b/>
                <w:bCs/>
                <w:color w:val="auto"/>
                <w:sz w:val="21"/>
                <w:szCs w:val="21"/>
              </w:rPr>
              <w:t>权重分</w:t>
            </w:r>
          </w:p>
        </w:tc>
        <w:tc>
          <w:tcPr>
            <w:tcW w:w="227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jc w:val="center"/>
              <w:rPr>
                <w:rFonts w:hint="default" w:ascii="Times New Roman" w:hAnsi="Times New Roman" w:eastAsia="仿宋_GB2312" w:cs="Times New Roman"/>
                <w:b/>
                <w:bCs/>
                <w:color w:val="auto"/>
                <w:sz w:val="21"/>
                <w:szCs w:val="21"/>
              </w:rPr>
            </w:pPr>
            <w:r>
              <w:rPr>
                <w:rFonts w:hint="default" w:ascii="Times New Roman" w:hAnsi="Times New Roman" w:eastAsia="仿宋_GB2312" w:cs="Times New Roman"/>
                <w:b/>
                <w:bCs/>
                <w:color w:val="auto"/>
                <w:sz w:val="21"/>
                <w:szCs w:val="21"/>
              </w:rPr>
              <w:t>得分</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auto"/>
                <w:sz w:val="21"/>
                <w:szCs w:val="21"/>
              </w:rPr>
            </w:pPr>
            <w:r>
              <w:rPr>
                <w:rFonts w:hint="default" w:ascii="Times New Roman" w:hAnsi="Times New Roman" w:eastAsia="仿宋_GB2312" w:cs="Times New Roman"/>
                <w:color w:val="auto"/>
                <w:sz w:val="21"/>
                <w:szCs w:val="21"/>
              </w:rPr>
              <w:t>项目决策</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auto"/>
                <w:sz w:val="21"/>
                <w:szCs w:val="21"/>
                <w:lang w:val="en-US" w:eastAsia="zh-CN"/>
              </w:rPr>
            </w:pPr>
            <w:r>
              <w:rPr>
                <w:rFonts w:hint="default" w:ascii="Times New Roman" w:hAnsi="Times New Roman" w:eastAsia="仿宋_GB2312" w:cs="Times New Roman"/>
                <w:color w:val="auto"/>
                <w:sz w:val="21"/>
                <w:szCs w:val="21"/>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auto"/>
                <w:sz w:val="21"/>
                <w:szCs w:val="21"/>
                <w:lang w:val="en-US" w:eastAsia="zh-CN"/>
              </w:rPr>
            </w:pPr>
            <w:r>
              <w:rPr>
                <w:rFonts w:hint="default" w:ascii="Times New Roman" w:hAnsi="Times New Roman" w:eastAsia="仿宋_GB2312" w:cs="Times New Roman"/>
                <w:color w:val="auto"/>
                <w:sz w:val="21"/>
                <w:szCs w:val="21"/>
                <w:lang w:val="en-US" w:eastAsia="zh-CN"/>
              </w:rPr>
              <w:t>20</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auto"/>
                <w:sz w:val="21"/>
                <w:szCs w:val="21"/>
              </w:rPr>
            </w:pPr>
            <w:r>
              <w:rPr>
                <w:rFonts w:hint="default" w:ascii="Times New Roman" w:hAnsi="Times New Roman" w:eastAsia="仿宋_GB2312" w:cs="Times New Roman"/>
                <w:color w:val="auto"/>
                <w:sz w:val="21"/>
                <w:szCs w:val="21"/>
              </w:rPr>
              <w:t>项目过程</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auto"/>
                <w:sz w:val="21"/>
                <w:szCs w:val="21"/>
                <w:lang w:val="en-US" w:eastAsia="zh-CN"/>
              </w:rPr>
            </w:pPr>
            <w:r>
              <w:rPr>
                <w:rFonts w:hint="default" w:ascii="Times New Roman" w:hAnsi="Times New Roman" w:eastAsia="仿宋_GB2312" w:cs="Times New Roman"/>
                <w:color w:val="auto"/>
                <w:sz w:val="21"/>
                <w:szCs w:val="21"/>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auto"/>
                <w:sz w:val="21"/>
                <w:szCs w:val="21"/>
                <w:lang w:val="en-US" w:eastAsia="zh-CN"/>
              </w:rPr>
            </w:pPr>
            <w:r>
              <w:rPr>
                <w:rFonts w:hint="eastAsia" w:eastAsia="仿宋_GB2312" w:cs="Times New Roman"/>
                <w:color w:val="auto"/>
                <w:sz w:val="21"/>
                <w:szCs w:val="21"/>
                <w:lang w:val="en-US" w:eastAsia="zh-CN"/>
              </w:rPr>
              <w:t>20</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auto"/>
                <w:sz w:val="21"/>
                <w:szCs w:val="21"/>
              </w:rPr>
            </w:pPr>
            <w:r>
              <w:rPr>
                <w:rFonts w:hint="default" w:ascii="Times New Roman" w:hAnsi="Times New Roman" w:eastAsia="仿宋_GB2312" w:cs="Times New Roman"/>
                <w:color w:val="auto"/>
                <w:sz w:val="21"/>
                <w:szCs w:val="21"/>
              </w:rPr>
              <w:t>项目产出</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auto"/>
                <w:sz w:val="21"/>
                <w:szCs w:val="21"/>
                <w:lang w:val="en-US" w:eastAsia="zh-CN"/>
              </w:rPr>
            </w:pPr>
            <w:r>
              <w:rPr>
                <w:rFonts w:hint="default" w:ascii="Times New Roman" w:hAnsi="Times New Roman" w:eastAsia="仿宋_GB2312" w:cs="Times New Roman"/>
                <w:color w:val="auto"/>
                <w:sz w:val="21"/>
                <w:szCs w:val="21"/>
                <w:lang w:val="en-US" w:eastAsia="zh-CN"/>
              </w:rPr>
              <w:t>40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auto"/>
                <w:sz w:val="21"/>
                <w:szCs w:val="21"/>
                <w:lang w:val="en-US" w:eastAsia="zh-CN"/>
              </w:rPr>
            </w:pPr>
            <w:r>
              <w:rPr>
                <w:rFonts w:hint="default" w:ascii="Times New Roman" w:hAnsi="Times New Roman" w:eastAsia="仿宋_GB2312" w:cs="Times New Roman"/>
                <w:color w:val="auto"/>
                <w:sz w:val="21"/>
                <w:szCs w:val="21"/>
                <w:lang w:val="en-US" w:eastAsia="zh-CN"/>
              </w:rPr>
              <w:t>40</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auto"/>
                <w:sz w:val="21"/>
                <w:szCs w:val="21"/>
              </w:rPr>
            </w:pPr>
            <w:r>
              <w:rPr>
                <w:rFonts w:hint="default" w:ascii="Times New Roman" w:hAnsi="Times New Roman" w:eastAsia="仿宋_GB2312" w:cs="Times New Roman"/>
                <w:color w:val="auto"/>
                <w:sz w:val="21"/>
                <w:szCs w:val="21"/>
              </w:rPr>
              <w:t>项目效益</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auto"/>
                <w:sz w:val="21"/>
                <w:szCs w:val="21"/>
                <w:lang w:val="en-US" w:eastAsia="zh-CN"/>
              </w:rPr>
            </w:pPr>
            <w:r>
              <w:rPr>
                <w:rFonts w:hint="default" w:ascii="Times New Roman" w:hAnsi="Times New Roman" w:eastAsia="仿宋_GB2312" w:cs="Times New Roman"/>
                <w:color w:val="auto"/>
                <w:sz w:val="21"/>
                <w:szCs w:val="21"/>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auto"/>
                <w:sz w:val="21"/>
                <w:szCs w:val="21"/>
                <w:lang w:val="en-US" w:eastAsia="zh-CN"/>
              </w:rPr>
            </w:pPr>
            <w:r>
              <w:rPr>
                <w:rFonts w:hint="default" w:ascii="Times New Roman" w:hAnsi="Times New Roman" w:eastAsia="仿宋_GB2312" w:cs="Times New Roman"/>
                <w:color w:val="auto"/>
                <w:sz w:val="21"/>
                <w:szCs w:val="21"/>
                <w:lang w:val="en-US" w:eastAsia="zh-CN"/>
              </w:rPr>
              <w:t>20</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b/>
                <w:bCs/>
                <w:color w:val="auto"/>
                <w:sz w:val="21"/>
                <w:szCs w:val="21"/>
              </w:rPr>
            </w:pPr>
            <w:r>
              <w:rPr>
                <w:rFonts w:hint="default" w:ascii="Times New Roman" w:hAnsi="Times New Roman" w:eastAsia="仿宋_GB2312" w:cs="Times New Roman"/>
                <w:b/>
                <w:bCs/>
                <w:color w:val="auto"/>
                <w:sz w:val="21"/>
                <w:szCs w:val="21"/>
              </w:rPr>
              <w:t>合计</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b/>
                <w:bCs/>
                <w:color w:val="auto"/>
                <w:sz w:val="21"/>
                <w:szCs w:val="21"/>
                <w:lang w:val="en-US" w:eastAsia="zh-CN"/>
              </w:rPr>
            </w:pPr>
            <w:r>
              <w:rPr>
                <w:rFonts w:hint="default" w:ascii="Times New Roman" w:hAnsi="Times New Roman" w:eastAsia="仿宋_GB2312" w:cs="Times New Roman"/>
                <w:b/>
                <w:bCs/>
                <w:color w:val="auto"/>
                <w:sz w:val="21"/>
                <w:szCs w:val="21"/>
                <w:lang w:val="en-US" w:eastAsia="zh-CN"/>
              </w:rPr>
              <w:t>100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b/>
                <w:bCs/>
                <w:color w:val="auto"/>
                <w:sz w:val="21"/>
                <w:szCs w:val="21"/>
                <w:lang w:val="en-US" w:eastAsia="zh-CN"/>
              </w:rPr>
            </w:pPr>
            <w:r>
              <w:rPr>
                <w:rFonts w:hint="eastAsia" w:eastAsia="仿宋_GB2312" w:cs="Times New Roman"/>
                <w:b/>
                <w:bCs/>
                <w:color w:val="auto"/>
                <w:sz w:val="21"/>
                <w:szCs w:val="21"/>
                <w:lang w:val="en-US" w:eastAsia="zh-CN"/>
              </w:rPr>
              <w:t>100</w:t>
            </w:r>
          </w:p>
        </w:tc>
      </w:tr>
    </w:tbl>
    <w:p>
      <w:pPr>
        <w:spacing w:line="560" w:lineRule="exact"/>
        <w:ind w:firstLine="640" w:firstLineChars="200"/>
        <w:rPr>
          <w:rFonts w:hint="default" w:ascii="Times New Roman" w:hAnsi="Times New Roman" w:eastAsia="黑体" w:cs="Times New Roman"/>
          <w:color w:val="auto"/>
          <w:sz w:val="32"/>
          <w:szCs w:val="32"/>
        </w:rPr>
      </w:pPr>
      <w:r>
        <w:rPr>
          <w:rFonts w:hint="default" w:ascii="Times New Roman" w:hAnsi="Times New Roman" w:eastAsia="黑体" w:cs="Times New Roman"/>
          <w:color w:val="auto"/>
          <w:sz w:val="32"/>
          <w:szCs w:val="32"/>
        </w:rPr>
        <w:t>四、绩效评价指标分析</w:t>
      </w:r>
    </w:p>
    <w:p>
      <w:pPr>
        <w:pStyle w:val="16"/>
        <w:spacing w:before="0" w:after="0" w:line="560" w:lineRule="exact"/>
        <w:ind w:firstLine="643" w:firstLineChars="200"/>
        <w:jc w:val="both"/>
        <w:rPr>
          <w:rFonts w:hint="default" w:ascii="Times New Roman" w:hAnsi="Times New Roman" w:eastAsia="楷体_GB2312" w:cs="Times New Roman"/>
          <w:color w:val="auto"/>
        </w:rPr>
      </w:pPr>
      <w:r>
        <w:rPr>
          <w:rFonts w:hint="default" w:ascii="Times New Roman" w:hAnsi="Times New Roman" w:eastAsia="楷体_GB2312" w:cs="Times New Roman"/>
          <w:color w:val="auto"/>
        </w:rPr>
        <w:t>（一）项目决策情况</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项目决策类指标包括项目立项、绩效目标和资金投入三方面的内容，权重分值为20分，实际得分20分，得分率为100%。</w:t>
      </w:r>
    </w:p>
    <w:p>
      <w:pPr>
        <w:pStyle w:val="22"/>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color w:val="auto"/>
          <w:sz w:val="32"/>
          <w:szCs w:val="32"/>
          <w:lang w:val="en-US" w:eastAsia="zh-CN"/>
        </w:rPr>
      </w:pPr>
      <w:r>
        <w:rPr>
          <w:rFonts w:hint="default" w:ascii="Times New Roman" w:hAnsi="Times New Roman" w:eastAsia="仿宋_GB2312" w:cs="Times New Roman"/>
          <w:b/>
          <w:bCs/>
          <w:color w:val="auto"/>
          <w:sz w:val="32"/>
          <w:szCs w:val="32"/>
          <w:lang w:val="en-US" w:eastAsia="zh-CN"/>
        </w:rPr>
        <w:t>1.项目立项</w:t>
      </w:r>
    </w:p>
    <w:p>
      <w:pPr>
        <w:shd w:val="clear"/>
        <w:spacing w:line="600" w:lineRule="exact"/>
        <w:ind w:firstLine="640" w:firstLineChars="200"/>
        <w:outlineLvl w:val="0"/>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val="en-US" w:eastAsia="zh-CN"/>
        </w:rPr>
        <w:t>（1）立项依据充分性</w:t>
      </w:r>
    </w:p>
    <w:p>
      <w:pPr>
        <w:shd w:val="clear"/>
        <w:spacing w:line="600" w:lineRule="exact"/>
        <w:ind w:firstLine="640" w:firstLineChars="200"/>
        <w:outlineLvl w:val="0"/>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val="en-US" w:eastAsia="zh-CN"/>
        </w:rPr>
        <w:t>该项目立项符合国家相关法律法规及发展政策，符合行业规划要求，围绕本年度工作重点和工作计划制定经费预算，属于公共财政支持范围。本项目与部门内部其他相关项目不重复。部门发展规划及职能文件等归档完整。</w:t>
      </w:r>
    </w:p>
    <w:p>
      <w:pPr>
        <w:shd w:val="clear"/>
        <w:spacing w:line="600" w:lineRule="exact"/>
        <w:ind w:firstLine="640" w:firstLineChars="200"/>
        <w:outlineLvl w:val="0"/>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val="en-US" w:eastAsia="zh-CN"/>
        </w:rPr>
        <w:t>（2）立项程序规范性</w:t>
      </w:r>
    </w:p>
    <w:p>
      <w:pPr>
        <w:shd w:val="clear"/>
        <w:spacing w:line="600" w:lineRule="exact"/>
        <w:ind w:firstLine="640" w:firstLineChars="200"/>
        <w:outlineLvl w:val="0"/>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rPr>
        <w:t>项目申请、设立过程符合相关要求，</w:t>
      </w:r>
      <w:r>
        <w:rPr>
          <w:rFonts w:hint="default" w:ascii="Times New Roman" w:hAnsi="Times New Roman" w:eastAsia="仿宋_GB2312" w:cs="Times New Roman"/>
          <w:color w:val="auto"/>
          <w:sz w:val="32"/>
          <w:szCs w:val="32"/>
          <w:lang w:eastAsia="zh-Hans"/>
        </w:rPr>
        <w:t>严格按照审批流程准备符合要求的文件、材料；</w:t>
      </w:r>
      <w:r>
        <w:rPr>
          <w:rFonts w:hint="default" w:ascii="Times New Roman" w:hAnsi="Times New Roman" w:eastAsia="仿宋_GB2312" w:cs="Times New Roman"/>
          <w:color w:val="auto"/>
          <w:sz w:val="32"/>
          <w:szCs w:val="32"/>
          <w:lang w:val="en-US" w:eastAsia="zh-CN"/>
        </w:rPr>
        <w:t>根据决算依据编制工作计划和经费预算，经过与部门项目分管领导沟通、筛选确定经费预算计划，确定最终预算方案。项目的审批文件、材料符合相关要求，项目事前经过必要的可行性研究、专家论证、风险评估、绩效评估、集体决策，保障了程序的规范性。</w:t>
      </w:r>
    </w:p>
    <w:p>
      <w:pPr>
        <w:pStyle w:val="22"/>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color w:val="auto"/>
          <w:sz w:val="32"/>
          <w:szCs w:val="32"/>
          <w:lang w:val="en-US" w:eastAsia="zh-CN"/>
        </w:rPr>
      </w:pPr>
      <w:r>
        <w:rPr>
          <w:rFonts w:hint="default" w:ascii="Times New Roman" w:hAnsi="Times New Roman" w:eastAsia="仿宋_GB2312" w:cs="Times New Roman"/>
          <w:b/>
          <w:bCs/>
          <w:color w:val="auto"/>
          <w:sz w:val="32"/>
          <w:szCs w:val="32"/>
          <w:lang w:val="en-US" w:eastAsia="zh-CN"/>
        </w:rPr>
        <w:t>2.绩效目标</w:t>
      </w:r>
    </w:p>
    <w:p>
      <w:pPr>
        <w:shd w:val="clear"/>
        <w:spacing w:line="600" w:lineRule="exact"/>
        <w:ind w:firstLine="640" w:firstLineChars="200"/>
        <w:outlineLvl w:val="0"/>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val="en-US" w:eastAsia="zh-CN"/>
        </w:rPr>
        <w:t>（1）绩效目标合理性</w:t>
      </w:r>
    </w:p>
    <w:p>
      <w:pPr>
        <w:shd w:val="clear"/>
        <w:spacing w:line="600" w:lineRule="exact"/>
        <w:ind w:firstLine="640" w:firstLineChars="200"/>
        <w:outlineLvl w:val="0"/>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val="en-US" w:eastAsia="zh-Hans"/>
        </w:rPr>
        <w:t>年初结合实际工作内容</w:t>
      </w:r>
      <w:r>
        <w:rPr>
          <w:rFonts w:hint="default" w:ascii="Times New Roman" w:hAnsi="Times New Roman" w:eastAsia="仿宋_GB2312" w:cs="Times New Roman"/>
          <w:color w:val="auto"/>
          <w:sz w:val="32"/>
          <w:szCs w:val="32"/>
          <w:lang w:val="en-US" w:eastAsia="zh-CN"/>
        </w:rPr>
        <w:t>设定绩效目标</w:t>
      </w:r>
      <w:r>
        <w:rPr>
          <w:rFonts w:hint="default" w:ascii="Times New Roman" w:hAnsi="Times New Roman" w:eastAsia="仿宋_GB2312" w:cs="Times New Roman"/>
          <w:color w:val="auto"/>
          <w:sz w:val="32"/>
          <w:szCs w:val="32"/>
          <w:lang w:val="en-US" w:eastAsia="zh-Hans"/>
        </w:rPr>
        <w:t>，绩效目标</w:t>
      </w:r>
      <w:r>
        <w:rPr>
          <w:rFonts w:hint="default" w:ascii="Times New Roman" w:hAnsi="Times New Roman" w:eastAsia="仿宋_GB2312" w:cs="Times New Roman"/>
          <w:color w:val="auto"/>
          <w:sz w:val="32"/>
          <w:szCs w:val="32"/>
          <w:lang w:val="en-US" w:eastAsia="zh-CN"/>
        </w:rPr>
        <w:t>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p>
    <w:p>
      <w:pPr>
        <w:shd w:val="clear"/>
        <w:spacing w:line="600" w:lineRule="exact"/>
        <w:ind w:firstLine="640" w:firstLineChars="200"/>
        <w:outlineLvl w:val="0"/>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val="en-US" w:eastAsia="zh-CN"/>
        </w:rPr>
        <w:t>（2）绩效指标明确性</w:t>
      </w:r>
    </w:p>
    <w:p>
      <w:pPr>
        <w:shd w:val="clear"/>
        <w:spacing w:line="600" w:lineRule="exact"/>
        <w:ind w:firstLine="640" w:firstLineChars="200"/>
        <w:outlineLvl w:val="0"/>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val="en-US" w:eastAsia="zh-CN"/>
        </w:rPr>
        <w:t>项目设置了明确的预期产出效益和效果，将绩效目标细化分解为具体的绩效指标，绩效目标与项目目标任务数相对应，绩效目标设定的绩效指标清晰、细化、可衡量。</w:t>
      </w:r>
    </w:p>
    <w:p>
      <w:pPr>
        <w:pStyle w:val="22"/>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color w:val="auto"/>
          <w:sz w:val="32"/>
          <w:szCs w:val="32"/>
          <w:lang w:val="en-US" w:eastAsia="zh-CN"/>
        </w:rPr>
      </w:pPr>
      <w:r>
        <w:rPr>
          <w:rFonts w:hint="default" w:ascii="Times New Roman" w:hAnsi="Times New Roman" w:eastAsia="仿宋_GB2312" w:cs="Times New Roman"/>
          <w:b/>
          <w:bCs/>
          <w:color w:val="auto"/>
          <w:sz w:val="32"/>
          <w:szCs w:val="32"/>
          <w:lang w:val="en-US" w:eastAsia="zh-CN"/>
        </w:rPr>
        <w:t>3.资金投入</w:t>
      </w:r>
    </w:p>
    <w:p>
      <w:pPr>
        <w:shd w:val="clear"/>
        <w:spacing w:line="600" w:lineRule="exact"/>
        <w:ind w:firstLine="640" w:firstLineChars="200"/>
        <w:outlineLvl w:val="0"/>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val="en-US" w:eastAsia="zh-CN"/>
        </w:rPr>
        <w:t>（1）预算编制科学性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本项目的预算编制过程严谨、科学，充分体现了精细化管理的要求。预算编制之初，进行了全面的成本估算，确保项目所需的各项资源得到合理的预估与分配。同时，预算编制还紧密结合了项目的特点与实际情况，对不同阶段、不同任务的资金需求进行了详细的分析与计算。</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在预算编制过程中，</w:t>
      </w:r>
      <w:r>
        <w:rPr>
          <w:rFonts w:hint="default" w:ascii="Times New Roman" w:hAnsi="Times New Roman" w:eastAsia="仿宋_GB2312" w:cs="Times New Roman"/>
          <w:color w:val="auto"/>
          <w:sz w:val="32"/>
          <w:szCs w:val="32"/>
          <w:highlight w:val="none"/>
          <w:lang w:val="en-US" w:eastAsia="zh-CN"/>
        </w:rPr>
        <w:t>还</w:t>
      </w:r>
      <w:r>
        <w:rPr>
          <w:rFonts w:hint="default" w:ascii="Times New Roman" w:hAnsi="Times New Roman" w:eastAsia="仿宋_GB2312" w:cs="Times New Roman"/>
          <w:color w:val="auto"/>
          <w:sz w:val="32"/>
          <w:szCs w:val="32"/>
          <w:highlight w:val="none"/>
          <w:lang w:eastAsia="zh-CN"/>
        </w:rPr>
        <w:t>注重了成本控制与效益最大化的原则。通过优化资源配置、提高资金使用效率等措施，确保项目在有限的预算内取得最大的经济效益与社会效益。此外，预算编制还充分考虑了风险因素，对可能出现的超支情况进行了预留与规划，以应对项目实施过程中的不确定性。</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（2）资金分配合理性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本项目的资金分配遵循了公平、公正、透明的原则，确保了项目资源的合理配置与高效利用。在资金分配过程中，我们充分考虑了项目的实际需求与目标，对不同阶段、不同任务的资金进行了科学的规划与安排。</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具体而言，资金分配紧密结合了项目的特点与实际情况，对关键领域与重要环节给予了重点支持。同时，我们也注重了资金的均衡分配，避免了资源浪费与资金闲置。此外，资金分配还充分考虑了风险因素，对可能出现的超支情况进行了预留与调整。</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综上所述，本项目的资金分配是合理的、科学的，既符合项目的实际情况，又满足了资金使用的效益最大化要求。资金分配的合理性为项目的成功实施提供了有力的保障，也为项目的绩效评价奠定了坚实的基础。</w:t>
      </w:r>
    </w:p>
    <w:p>
      <w:pPr>
        <w:pStyle w:val="16"/>
        <w:numPr>
          <w:ilvl w:val="0"/>
          <w:numId w:val="5"/>
        </w:numPr>
        <w:spacing w:before="0" w:after="0" w:line="560" w:lineRule="exact"/>
        <w:ind w:firstLine="643" w:firstLineChars="200"/>
        <w:jc w:val="both"/>
        <w:rPr>
          <w:rFonts w:hint="default" w:ascii="Times New Roman" w:hAnsi="Times New Roman" w:eastAsia="楷体" w:cs="Times New Roman"/>
          <w:color w:val="auto"/>
        </w:rPr>
      </w:pPr>
      <w:r>
        <w:rPr>
          <w:rFonts w:hint="default" w:ascii="Times New Roman" w:hAnsi="Times New Roman" w:eastAsia="楷体" w:cs="Times New Roman"/>
          <w:color w:val="auto"/>
        </w:rPr>
        <w:t>项目过程情况</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lang w:val="en-US" w:eastAsia="zh-CN"/>
        </w:rPr>
        <w:t>项目过程类指标包括资金管理和组织实施两方面的内容，</w:t>
      </w:r>
      <w:r>
        <w:rPr>
          <w:rFonts w:hint="default" w:ascii="Times New Roman" w:hAnsi="Times New Roman" w:eastAsia="仿宋_GB2312" w:cs="Times New Roman"/>
          <w:color w:val="auto"/>
          <w:sz w:val="32"/>
          <w:szCs w:val="32"/>
          <w:highlight w:val="none"/>
          <w:lang w:val="en-US" w:eastAsia="zh-CN"/>
        </w:rPr>
        <w:t>权重分值为20分，实际得分</w:t>
      </w:r>
      <w:r>
        <w:rPr>
          <w:rFonts w:hint="eastAsia" w:eastAsia="仿宋_GB2312" w:cs="Times New Roman"/>
          <w:color w:val="auto"/>
          <w:sz w:val="32"/>
          <w:szCs w:val="32"/>
          <w:highlight w:val="none"/>
          <w:lang w:val="en-US" w:eastAsia="zh-CN"/>
        </w:rPr>
        <w:t>20</w:t>
      </w:r>
      <w:r>
        <w:rPr>
          <w:rFonts w:hint="default" w:ascii="Times New Roman" w:hAnsi="Times New Roman" w:eastAsia="仿宋_GB2312" w:cs="Times New Roman"/>
          <w:color w:val="auto"/>
          <w:sz w:val="32"/>
          <w:szCs w:val="32"/>
          <w:highlight w:val="none"/>
          <w:lang w:val="en-US" w:eastAsia="zh-CN"/>
        </w:rPr>
        <w:t>分，得分率为</w:t>
      </w:r>
      <w:r>
        <w:rPr>
          <w:rFonts w:hint="eastAsia"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lang w:val="en-US" w:eastAsia="zh-CN"/>
        </w:rPr>
        <w:t>%。</w:t>
      </w:r>
    </w:p>
    <w:p>
      <w:pPr>
        <w:pStyle w:val="22"/>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color w:val="auto"/>
          <w:sz w:val="32"/>
          <w:szCs w:val="32"/>
          <w:lang w:val="en-US" w:eastAsia="zh-CN"/>
        </w:rPr>
      </w:pPr>
      <w:r>
        <w:rPr>
          <w:rFonts w:hint="default" w:ascii="Times New Roman" w:hAnsi="Times New Roman" w:eastAsia="仿宋_GB2312" w:cs="Times New Roman"/>
          <w:b/>
          <w:bCs/>
          <w:color w:val="auto"/>
          <w:sz w:val="32"/>
          <w:szCs w:val="32"/>
          <w:lang w:val="en-US" w:eastAsia="zh-CN"/>
        </w:rPr>
        <w:t>1.资金管理</w:t>
      </w:r>
    </w:p>
    <w:p>
      <w:pPr>
        <w:shd w:val="clear"/>
        <w:spacing w:line="600" w:lineRule="exact"/>
        <w:ind w:firstLine="640" w:firstLineChars="200"/>
        <w:outlineLvl w:val="0"/>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val="en-US" w:eastAsia="zh-CN"/>
        </w:rPr>
        <w:t>（1）资金到位率</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本项目总投资10.4万元，财政资金及时足额到位，到位率100%，预算资金按计划进度执行。</w:t>
      </w:r>
    </w:p>
    <w:p>
      <w:pPr>
        <w:shd w:val="clear"/>
        <w:spacing w:line="600" w:lineRule="exact"/>
        <w:ind w:firstLine="640" w:firstLineChars="200"/>
        <w:outlineLvl w:val="0"/>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val="en-US" w:eastAsia="zh-CN"/>
        </w:rPr>
        <w:t>（2）预算执行率</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预算编制较为详细，项目资金支出总体能够按照预算执行，预算资金支出10.4万元，预算执行率为100%。</w:t>
      </w:r>
    </w:p>
    <w:p>
      <w:pPr>
        <w:shd w:val="clear"/>
        <w:spacing w:line="600" w:lineRule="exact"/>
        <w:ind w:firstLine="640" w:firstLineChars="200"/>
        <w:outlineLvl w:val="0"/>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val="en-US" w:eastAsia="zh-CN"/>
        </w:rPr>
        <w:t>（3）资金使用合规性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本项目的资金使用严格遵循了国家相关法律法规与财务制度，确保了资金的合规性与安全性。在资金使用过程中，我们建立了完善的财务管理体系，对资金的流动进行了全程监控与记录。</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具体而言，资金使用坚持了专款专用的原则，确保了项目资金不被挪用或截留。同时，我们还加强了对资金使用的审计与监督，定期对财务收支进行自查与自纠，及时发现并纠正可能存在的问题。此外，资金使用还充分考虑了成本效益原则，通过优化资源配置、提高资金使用效率等措施，确保了项目资金的最大化利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综上所述，本项目的资金使用是合规的、安全的，既符合国家相关法律法规与财务制度的要求，又满足了项目实施的实际需要。资金使用的合规性为项目的成功实施提供了有力的保障，也为项目的绩效评价奠定了坚实的基础。</w:t>
      </w:r>
    </w:p>
    <w:p>
      <w:pPr>
        <w:pStyle w:val="22"/>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color w:val="auto"/>
          <w:sz w:val="32"/>
          <w:szCs w:val="32"/>
          <w:highlight w:val="none"/>
          <w:lang w:val="en-US" w:eastAsia="zh-CN"/>
        </w:rPr>
      </w:pPr>
      <w:r>
        <w:rPr>
          <w:rFonts w:hint="default" w:ascii="Times New Roman" w:hAnsi="Times New Roman" w:eastAsia="仿宋_GB2312" w:cs="Times New Roman"/>
          <w:b/>
          <w:bCs/>
          <w:color w:val="auto"/>
          <w:sz w:val="32"/>
          <w:szCs w:val="32"/>
          <w:highlight w:val="none"/>
          <w:lang w:val="en-US" w:eastAsia="zh-CN"/>
        </w:rPr>
        <w:t>2.组织实施</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（1）管理制度健全性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本项目拥有一套完善、健全的管理制度体系，为项目的成功实施提供了坚实的制度保障。项目管理制度的制定紧密结合了项目的特点与实际情况，涵盖了项目的策划、组织、实施、监控与收尾等各个环节。</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在制度设计上，我们注重了制度的科学性与可操作性，确保制度能够切实指导项目的执行与管理。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此外，项目管理制度还充分考虑了风险因素，制定了相应的风险应对措施与预案，以应对项目实施过程中可能出现的各种风险与挑战。管理制度的健全性不仅体现在制度的完善上，还体现在制度的执行与监督上。我们建立了有效的监督机制与反馈机制，对项目的实施情况进行定期检查与评估，及时发现并纠正可能存在的问题。</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综上所述，本项目的管理制度是健全的、有效的，既符合项目的实际情况，又满足了项目管理的需要。管理制度的健全性为项目的成功实施提供了有力的保障，也为项目的绩效评价奠定了坚实的基础。</w:t>
      </w:r>
    </w:p>
    <w:p>
      <w:pPr>
        <w:shd w:val="clear"/>
        <w:spacing w:line="600" w:lineRule="exact"/>
        <w:ind w:firstLine="640" w:firstLineChars="200"/>
        <w:outlineLvl w:val="0"/>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val="en-US" w:eastAsia="zh-CN"/>
        </w:rPr>
        <w:t>（2）制度执行有效性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lang w:eastAsia="zh-CN"/>
        </w:rPr>
      </w:pPr>
      <w:r>
        <w:rPr>
          <w:rFonts w:hint="default" w:ascii="Times New Roman" w:hAnsi="Times New Roman" w:eastAsia="仿宋_GB2312" w:cs="Times New Roman"/>
          <w:color w:val="auto"/>
          <w:sz w:val="32"/>
          <w:szCs w:val="32"/>
          <w:lang w:eastAsia="zh-CN"/>
        </w:rPr>
        <w:t>本项目在执行过程中，管理制度得到了全面、有效的落实，为确保项目的顺利实施与目标实现提供了坚实的保障。项目</w:t>
      </w:r>
      <w:r>
        <w:rPr>
          <w:rFonts w:hint="default" w:ascii="Times New Roman" w:hAnsi="Times New Roman" w:eastAsia="仿宋_GB2312" w:cs="Times New Roman"/>
          <w:color w:val="auto"/>
          <w:sz w:val="32"/>
          <w:szCs w:val="32"/>
          <w:lang w:val="en-US" w:eastAsia="zh-CN"/>
        </w:rPr>
        <w:t>单位</w:t>
      </w:r>
      <w:r>
        <w:rPr>
          <w:rFonts w:hint="default" w:ascii="Times New Roman" w:hAnsi="Times New Roman" w:eastAsia="仿宋_GB2312" w:cs="Times New Roman"/>
          <w:color w:val="auto"/>
          <w:sz w:val="32"/>
          <w:szCs w:val="32"/>
          <w:lang w:eastAsia="zh-CN"/>
        </w:rPr>
        <w:t>重视制度执行的重要性，通过明确责任分工、制定详细执行计划、加强监督考核等措施，确保了各项管理制度能够得到有效执行。</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lang w:eastAsia="zh-CN"/>
        </w:rPr>
      </w:pPr>
      <w:r>
        <w:rPr>
          <w:rFonts w:hint="default" w:ascii="Times New Roman" w:hAnsi="Times New Roman" w:eastAsia="仿宋_GB2312" w:cs="Times New Roman"/>
          <w:color w:val="auto"/>
          <w:sz w:val="32"/>
          <w:szCs w:val="32"/>
          <w:lang w:eastAsia="zh-CN"/>
        </w:rPr>
        <w:t>在具体执行过程中，项目团队成员严格按照制度要求进行操作。同时，我们还建立了有效的沟通机制与反馈机制，确保项目信息的及时传递与问题的及时解决，进一步提高了制度执行的效率与效果。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楷体_GB2312" w:cs="Times New Roman"/>
          <w:b/>
          <w:bCs/>
          <w:color w:val="auto"/>
          <w:kern w:val="2"/>
          <w:sz w:val="32"/>
          <w:szCs w:val="32"/>
          <w:lang w:val="en-US" w:eastAsia="zh-CN" w:bidi="ar-SA"/>
        </w:rPr>
      </w:pPr>
      <w:r>
        <w:rPr>
          <w:rFonts w:hint="default" w:ascii="Times New Roman" w:hAnsi="Times New Roman" w:eastAsia="仿宋_GB2312" w:cs="Times New Roman"/>
          <w:color w:val="auto"/>
          <w:sz w:val="32"/>
          <w:szCs w:val="32"/>
          <w:lang w:eastAsia="zh-CN"/>
        </w:rPr>
        <w:t>综上所述，本项目的管理制度在执行过程中表现出了高度的有效性，既确保了项目的顺利进行，又实现了项目目标的有效达成。</w:t>
      </w:r>
    </w:p>
    <w:p>
      <w:pPr>
        <w:pStyle w:val="6"/>
        <w:numPr>
          <w:ilvl w:val="0"/>
          <w:numId w:val="5"/>
        </w:numPr>
        <w:spacing w:line="560" w:lineRule="exact"/>
        <w:ind w:firstLine="643"/>
        <w:rPr>
          <w:rFonts w:hint="default" w:ascii="Times New Roman" w:hAnsi="Times New Roman" w:eastAsia="楷体_GB2312" w:cs="Times New Roman"/>
          <w:b/>
          <w:bCs/>
          <w:color w:val="auto"/>
          <w:sz w:val="32"/>
          <w:szCs w:val="32"/>
        </w:rPr>
      </w:pPr>
      <w:r>
        <w:rPr>
          <w:rFonts w:hint="default" w:ascii="Times New Roman" w:hAnsi="Times New Roman" w:eastAsia="楷体_GB2312" w:cs="Times New Roman"/>
          <w:b/>
          <w:bCs/>
          <w:color w:val="auto"/>
          <w:kern w:val="2"/>
          <w:sz w:val="32"/>
          <w:szCs w:val="32"/>
          <w:lang w:val="en-US" w:eastAsia="zh-CN" w:bidi="ar-SA"/>
        </w:rPr>
        <w:t>项目产出情况</w:t>
      </w:r>
    </w:p>
    <w:p>
      <w:pPr>
        <w:shd w:val="clear"/>
        <w:spacing w:line="600" w:lineRule="exact"/>
        <w:ind w:firstLine="640" w:firstLineChars="200"/>
        <w:outlineLvl w:val="0"/>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val="en-US" w:eastAsia="zh-CN"/>
        </w:rPr>
        <w:t>项目产出类指标包括产出数量、产出质量、产出时效、产出成本四方面的内容</w:t>
      </w:r>
      <w:r>
        <w:rPr>
          <w:rFonts w:hint="default" w:ascii="Times New Roman" w:hAnsi="Times New Roman" w:eastAsia="仿宋_GB2312" w:cs="Times New Roman"/>
          <w:color w:val="auto"/>
          <w:sz w:val="32"/>
          <w:szCs w:val="32"/>
          <w:highlight w:val="none"/>
          <w:lang w:val="en-US" w:eastAsia="zh-CN"/>
        </w:rPr>
        <w:t>，由6个三级指标构成，权重分为40分，实际得分40分，得分率为100%。具体</w:t>
      </w:r>
      <w:r>
        <w:rPr>
          <w:rFonts w:hint="default" w:ascii="Times New Roman" w:hAnsi="Times New Roman" w:eastAsia="仿宋_GB2312" w:cs="Times New Roman"/>
          <w:color w:val="auto"/>
          <w:sz w:val="32"/>
          <w:szCs w:val="32"/>
          <w:lang w:val="en-US" w:eastAsia="zh-CN"/>
        </w:rPr>
        <w:t>产出指标完成情况如下：</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 1 \* GB3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color w:val="auto"/>
          <w:sz w:val="32"/>
          <w:szCs w:val="32"/>
          <w:highlight w:val="none"/>
        </w:rPr>
        <w:t>①</w:t>
      </w:r>
      <w:r>
        <w:rPr>
          <w:rFonts w:hint="default" w:ascii="Times New Roman" w:hAnsi="Times New Roman" w:eastAsia="仿宋_GB2312" w:cs="Times New Roman"/>
          <w:color w:val="auto"/>
          <w:sz w:val="32"/>
          <w:szCs w:val="32"/>
          <w:highlight w:val="none"/>
        </w:rPr>
        <w:fldChar w:fldCharType="end"/>
      </w:r>
      <w:r>
        <w:rPr>
          <w:rFonts w:hint="default" w:ascii="Times New Roman" w:hAnsi="Times New Roman" w:eastAsia="仿宋_GB2312" w:cs="Times New Roman"/>
          <w:color w:val="auto"/>
          <w:sz w:val="32"/>
          <w:szCs w:val="32"/>
          <w:highlight w:val="none"/>
        </w:rPr>
        <w:t>数量指标：</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rPr>
        <w:t>指标1：</w:t>
      </w:r>
      <w:r>
        <w:rPr>
          <w:rFonts w:hint="default" w:ascii="Times New Roman" w:hAnsi="Times New Roman" w:eastAsia="仿宋_GB2312" w:cs="Times New Roman"/>
          <w:color w:val="auto"/>
          <w:sz w:val="32"/>
          <w:szCs w:val="32"/>
          <w:highlight w:val="none"/>
          <w:lang w:val="en-US" w:eastAsia="zh-CN"/>
        </w:rPr>
        <w:t>出具固定资产鉴证报告</w:t>
      </w:r>
      <w:r>
        <w:rPr>
          <w:rFonts w:hint="default" w:ascii="Times New Roman" w:hAnsi="Times New Roman" w:eastAsia="仿宋_GB2312" w:cs="Times New Roman"/>
          <w:color w:val="auto"/>
          <w:sz w:val="32"/>
          <w:szCs w:val="32"/>
          <w:highlight w:val="none"/>
        </w:rPr>
        <w:t>，指标值：</w:t>
      </w:r>
      <w:r>
        <w:rPr>
          <w:rFonts w:hint="eastAsia" w:eastAsia="仿宋_GB2312" w:cs="Times New Roman"/>
          <w:color w:val="auto"/>
          <w:sz w:val="32"/>
          <w:szCs w:val="32"/>
          <w:highlight w:val="none"/>
          <w:lang w:val="en-US" w:eastAsia="zh-CN"/>
        </w:rPr>
        <w:t>＝</w:t>
      </w:r>
      <w:r>
        <w:rPr>
          <w:rFonts w:hint="default" w:ascii="Times New Roman" w:hAnsi="Times New Roman" w:eastAsia="仿宋_GB2312" w:cs="Times New Roman"/>
          <w:color w:val="auto"/>
          <w:sz w:val="32"/>
          <w:szCs w:val="32"/>
          <w:highlight w:val="none"/>
          <w:lang w:val="en-US" w:eastAsia="zh-CN"/>
        </w:rPr>
        <w:t>1份</w:t>
      </w:r>
      <w:r>
        <w:rPr>
          <w:rFonts w:hint="default" w:ascii="Times New Roman" w:hAnsi="Times New Roman" w:eastAsia="仿宋_GB2312" w:cs="Times New Roman"/>
          <w:color w:val="auto"/>
          <w:sz w:val="32"/>
          <w:szCs w:val="32"/>
          <w:highlight w:val="none"/>
        </w:rPr>
        <w:t>，实际完成值：</w:t>
      </w:r>
      <w:r>
        <w:rPr>
          <w:rFonts w:hint="default" w:ascii="Times New Roman" w:hAnsi="Times New Roman" w:eastAsia="仿宋_GB2312" w:cs="Times New Roman"/>
          <w:color w:val="auto"/>
          <w:sz w:val="32"/>
          <w:szCs w:val="32"/>
          <w:highlight w:val="none"/>
          <w:lang w:val="en-US" w:eastAsia="zh-CN"/>
        </w:rPr>
        <w:t>1份</w:t>
      </w:r>
      <w:r>
        <w:rPr>
          <w:rFonts w:hint="default" w:ascii="Times New Roman" w:hAnsi="Times New Roman" w:eastAsia="仿宋_GB2312" w:cs="Times New Roman"/>
          <w:color w:val="auto"/>
          <w:sz w:val="32"/>
          <w:szCs w:val="32"/>
          <w:highlight w:val="none"/>
        </w:rPr>
        <w:t>，指标完成率</w:t>
      </w:r>
      <w:r>
        <w:rPr>
          <w:rFonts w:hint="default" w:ascii="Times New Roman" w:hAnsi="Times New Roman"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rPr>
        <w:t>%</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lang w:val="en-US" w:eastAsia="zh-CN"/>
        </w:rPr>
        <w:t>偏差原因：无偏差。</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rPr>
        <w:t>指标</w:t>
      </w:r>
      <w:r>
        <w:rPr>
          <w:rFonts w:hint="default" w:ascii="Times New Roman" w:hAnsi="Times New Roman" w:eastAsia="仿宋_GB2312" w:cs="Times New Roman"/>
          <w:color w:val="auto"/>
          <w:sz w:val="32"/>
          <w:szCs w:val="32"/>
          <w:highlight w:val="none"/>
          <w:lang w:val="en-US" w:eastAsia="zh-CN"/>
        </w:rPr>
        <w:t>2</w:t>
      </w:r>
      <w:r>
        <w:rPr>
          <w:rFonts w:hint="default" w:ascii="Times New Roman" w:hAnsi="Times New Roman" w:eastAsia="仿宋_GB2312" w:cs="Times New Roman"/>
          <w:color w:val="auto"/>
          <w:sz w:val="32"/>
          <w:szCs w:val="32"/>
          <w:highlight w:val="none"/>
        </w:rPr>
        <w:t>：</w:t>
      </w:r>
      <w:r>
        <w:rPr>
          <w:rFonts w:hint="default" w:ascii="Times New Roman" w:hAnsi="Times New Roman" w:eastAsia="仿宋_GB2312" w:cs="Times New Roman"/>
          <w:color w:val="auto"/>
          <w:sz w:val="32"/>
          <w:szCs w:val="32"/>
          <w:highlight w:val="none"/>
          <w:lang w:val="en-US" w:eastAsia="zh-CN"/>
        </w:rPr>
        <w:t>出具资产清查审计报告</w:t>
      </w:r>
      <w:r>
        <w:rPr>
          <w:rFonts w:hint="default" w:ascii="Times New Roman" w:hAnsi="Times New Roman" w:eastAsia="仿宋_GB2312" w:cs="Times New Roman"/>
          <w:color w:val="auto"/>
          <w:sz w:val="32"/>
          <w:szCs w:val="32"/>
          <w:highlight w:val="none"/>
        </w:rPr>
        <w:t>，指标值：</w:t>
      </w:r>
      <w:r>
        <w:rPr>
          <w:rFonts w:hint="eastAsia" w:eastAsia="仿宋_GB2312" w:cs="Times New Roman"/>
          <w:color w:val="auto"/>
          <w:sz w:val="32"/>
          <w:szCs w:val="32"/>
          <w:highlight w:val="none"/>
          <w:lang w:val="en-US" w:eastAsia="zh-CN"/>
        </w:rPr>
        <w:t>＝</w:t>
      </w:r>
      <w:r>
        <w:rPr>
          <w:rFonts w:hint="default" w:ascii="Times New Roman" w:hAnsi="Times New Roman" w:eastAsia="仿宋_GB2312" w:cs="Times New Roman"/>
          <w:color w:val="auto"/>
          <w:sz w:val="32"/>
          <w:szCs w:val="32"/>
          <w:highlight w:val="none"/>
          <w:lang w:val="en-US" w:eastAsia="zh-CN"/>
        </w:rPr>
        <w:t>1份</w:t>
      </w:r>
      <w:r>
        <w:rPr>
          <w:rFonts w:hint="default" w:ascii="Times New Roman" w:hAnsi="Times New Roman" w:eastAsia="仿宋_GB2312" w:cs="Times New Roman"/>
          <w:color w:val="auto"/>
          <w:sz w:val="32"/>
          <w:szCs w:val="32"/>
          <w:highlight w:val="none"/>
        </w:rPr>
        <w:t>，实际完成值：</w:t>
      </w:r>
      <w:r>
        <w:rPr>
          <w:rFonts w:hint="default" w:ascii="Times New Roman" w:hAnsi="Times New Roman" w:eastAsia="仿宋_GB2312" w:cs="Times New Roman"/>
          <w:color w:val="auto"/>
          <w:sz w:val="32"/>
          <w:szCs w:val="32"/>
          <w:highlight w:val="none"/>
          <w:lang w:val="en-US" w:eastAsia="zh-CN"/>
        </w:rPr>
        <w:t>1份</w:t>
      </w:r>
      <w:r>
        <w:rPr>
          <w:rFonts w:hint="default" w:ascii="Times New Roman" w:hAnsi="Times New Roman" w:eastAsia="仿宋_GB2312" w:cs="Times New Roman"/>
          <w:color w:val="auto"/>
          <w:sz w:val="32"/>
          <w:szCs w:val="32"/>
          <w:highlight w:val="none"/>
        </w:rPr>
        <w:t>，指标完成率</w:t>
      </w:r>
      <w:r>
        <w:rPr>
          <w:rFonts w:hint="default" w:ascii="Times New Roman" w:hAnsi="Times New Roman"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rPr>
        <w:t>%</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lang w:val="en-US" w:eastAsia="zh-CN"/>
        </w:rPr>
        <w:t>偏差原因：无偏差。</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 2 \* GB3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color w:val="auto"/>
          <w:sz w:val="32"/>
          <w:szCs w:val="32"/>
          <w:highlight w:val="none"/>
        </w:rPr>
        <w:t>②</w:t>
      </w:r>
      <w:r>
        <w:rPr>
          <w:rFonts w:hint="default" w:ascii="Times New Roman" w:hAnsi="Times New Roman" w:eastAsia="仿宋_GB2312" w:cs="Times New Roman"/>
          <w:color w:val="auto"/>
          <w:sz w:val="32"/>
          <w:szCs w:val="32"/>
          <w:highlight w:val="none"/>
        </w:rPr>
        <w:fldChar w:fldCharType="end"/>
      </w:r>
      <w:r>
        <w:rPr>
          <w:rFonts w:hint="default" w:ascii="Times New Roman" w:hAnsi="Times New Roman" w:eastAsia="仿宋_GB2312" w:cs="Times New Roman"/>
          <w:color w:val="auto"/>
          <w:sz w:val="32"/>
          <w:szCs w:val="32"/>
          <w:highlight w:val="none"/>
        </w:rPr>
        <w:t>质量指标：</w:t>
      </w:r>
      <w:r>
        <w:rPr>
          <w:rFonts w:hint="default" w:ascii="Times New Roman" w:hAnsi="Times New Roman" w:eastAsia="仿宋_GB2312" w:cs="Times New Roman"/>
          <w:color w:val="auto"/>
          <w:sz w:val="32"/>
          <w:szCs w:val="32"/>
          <w:highlight w:val="none"/>
          <w:lang w:val="en-US" w:eastAsia="zh-CN"/>
        </w:rPr>
        <w:t>审计方案的有效性，</w:t>
      </w:r>
      <w:r>
        <w:rPr>
          <w:rFonts w:hint="default" w:ascii="Times New Roman" w:hAnsi="Times New Roman" w:eastAsia="仿宋_GB2312" w:cs="Times New Roman"/>
          <w:color w:val="auto"/>
          <w:sz w:val="32"/>
          <w:szCs w:val="32"/>
          <w:highlight w:val="none"/>
        </w:rPr>
        <w:t>指标值：</w:t>
      </w:r>
      <w:r>
        <w:rPr>
          <w:rFonts w:hint="default" w:ascii="Times New Roman" w:hAnsi="Times New Roman" w:eastAsia="仿宋_GB2312" w:cs="Times New Roman"/>
          <w:color w:val="auto"/>
          <w:sz w:val="32"/>
          <w:szCs w:val="32"/>
          <w:highlight w:val="none"/>
          <w:lang w:val="en-US" w:eastAsia="zh-CN"/>
        </w:rPr>
        <w:t>≥90%</w:t>
      </w:r>
      <w:r>
        <w:rPr>
          <w:rFonts w:hint="default" w:ascii="Times New Roman" w:hAnsi="Times New Roman" w:eastAsia="仿宋_GB2312" w:cs="Times New Roman"/>
          <w:color w:val="auto"/>
          <w:sz w:val="32"/>
          <w:szCs w:val="32"/>
          <w:highlight w:val="none"/>
        </w:rPr>
        <w:t>，实际完成值：</w:t>
      </w:r>
      <w:r>
        <w:rPr>
          <w:rFonts w:hint="default" w:ascii="Times New Roman" w:hAnsi="Times New Roman" w:eastAsia="仿宋_GB2312" w:cs="Times New Roman"/>
          <w:color w:val="auto"/>
          <w:sz w:val="32"/>
          <w:szCs w:val="32"/>
          <w:highlight w:val="none"/>
          <w:lang w:val="en-US" w:eastAsia="zh-CN"/>
        </w:rPr>
        <w:t>90%</w:t>
      </w:r>
      <w:r>
        <w:rPr>
          <w:rFonts w:hint="default" w:ascii="Times New Roman" w:hAnsi="Times New Roman" w:eastAsia="仿宋_GB2312" w:cs="Times New Roman"/>
          <w:color w:val="auto"/>
          <w:sz w:val="32"/>
          <w:szCs w:val="32"/>
          <w:highlight w:val="none"/>
        </w:rPr>
        <w:t>，指标完成率</w:t>
      </w:r>
      <w:r>
        <w:rPr>
          <w:rFonts w:hint="default" w:ascii="Times New Roman" w:hAnsi="Times New Roman"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rPr>
        <w:t>%</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lang w:val="en-US" w:eastAsia="zh-CN"/>
        </w:rPr>
        <w:t>偏差原因：无偏差。</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 3 \* GB3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color w:val="auto"/>
          <w:sz w:val="32"/>
          <w:szCs w:val="32"/>
          <w:highlight w:val="none"/>
        </w:rPr>
        <w:t>③</w:t>
      </w:r>
      <w:r>
        <w:rPr>
          <w:rFonts w:hint="default" w:ascii="Times New Roman" w:hAnsi="Times New Roman" w:eastAsia="仿宋_GB2312" w:cs="Times New Roman"/>
          <w:color w:val="auto"/>
          <w:sz w:val="32"/>
          <w:szCs w:val="32"/>
          <w:highlight w:val="none"/>
        </w:rPr>
        <w:fldChar w:fldCharType="end"/>
      </w:r>
      <w:r>
        <w:rPr>
          <w:rFonts w:hint="default" w:ascii="Times New Roman" w:hAnsi="Times New Roman" w:eastAsia="仿宋_GB2312" w:cs="Times New Roman"/>
          <w:color w:val="auto"/>
          <w:sz w:val="32"/>
          <w:szCs w:val="32"/>
          <w:highlight w:val="none"/>
        </w:rPr>
        <w:t>时效指标：</w:t>
      </w:r>
      <w:r>
        <w:rPr>
          <w:rFonts w:hint="default" w:ascii="Times New Roman" w:hAnsi="Times New Roman" w:eastAsia="仿宋_GB2312" w:cs="Times New Roman"/>
          <w:color w:val="auto"/>
          <w:sz w:val="32"/>
          <w:szCs w:val="32"/>
          <w:highlight w:val="none"/>
          <w:lang w:val="en-US" w:eastAsia="zh-CN"/>
        </w:rPr>
        <w:t>审计报告出具及时性，</w:t>
      </w:r>
      <w:r>
        <w:rPr>
          <w:rFonts w:hint="default" w:ascii="Times New Roman" w:hAnsi="Times New Roman" w:eastAsia="仿宋_GB2312" w:cs="Times New Roman"/>
          <w:color w:val="auto"/>
          <w:sz w:val="32"/>
          <w:szCs w:val="32"/>
          <w:highlight w:val="none"/>
        </w:rPr>
        <w:t>指标值：</w:t>
      </w:r>
      <w:r>
        <w:rPr>
          <w:rFonts w:hint="default" w:ascii="Times New Roman" w:hAnsi="Times New Roman" w:eastAsia="仿宋_GB2312" w:cs="Times New Roman"/>
          <w:color w:val="auto"/>
          <w:sz w:val="32"/>
          <w:szCs w:val="32"/>
          <w:highlight w:val="none"/>
          <w:lang w:val="en-US" w:eastAsia="zh-CN"/>
        </w:rPr>
        <w:t>≥95%</w:t>
      </w:r>
      <w:r>
        <w:rPr>
          <w:rFonts w:hint="default" w:ascii="Times New Roman" w:hAnsi="Times New Roman" w:eastAsia="仿宋_GB2312" w:cs="Times New Roman"/>
          <w:color w:val="auto"/>
          <w:sz w:val="32"/>
          <w:szCs w:val="32"/>
          <w:highlight w:val="none"/>
        </w:rPr>
        <w:t>，实际完成值：</w:t>
      </w:r>
      <w:r>
        <w:rPr>
          <w:rFonts w:hint="default" w:ascii="Times New Roman" w:hAnsi="Times New Roman" w:eastAsia="仿宋_GB2312" w:cs="Times New Roman"/>
          <w:color w:val="auto"/>
          <w:sz w:val="32"/>
          <w:szCs w:val="32"/>
          <w:highlight w:val="none"/>
          <w:lang w:val="en-US" w:eastAsia="zh-CN"/>
        </w:rPr>
        <w:t>95%</w:t>
      </w:r>
      <w:r>
        <w:rPr>
          <w:rFonts w:hint="default" w:ascii="Times New Roman" w:hAnsi="Times New Roman" w:eastAsia="仿宋_GB2312" w:cs="Times New Roman"/>
          <w:color w:val="auto"/>
          <w:sz w:val="32"/>
          <w:szCs w:val="32"/>
          <w:highlight w:val="none"/>
        </w:rPr>
        <w:t>，指标完成率</w:t>
      </w:r>
      <w:r>
        <w:rPr>
          <w:rFonts w:hint="default" w:ascii="Times New Roman" w:hAnsi="Times New Roman"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rPr>
        <w:t>%</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lang w:val="en-US" w:eastAsia="zh-CN"/>
        </w:rPr>
        <w:t>偏差原因：无偏差。</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 4 \* GB3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color w:val="auto"/>
          <w:sz w:val="32"/>
          <w:szCs w:val="32"/>
          <w:highlight w:val="none"/>
        </w:rPr>
        <w:t>④</w:t>
      </w:r>
      <w:r>
        <w:rPr>
          <w:rFonts w:hint="default" w:ascii="Times New Roman" w:hAnsi="Times New Roman" w:eastAsia="仿宋_GB2312" w:cs="Times New Roman"/>
          <w:color w:val="auto"/>
          <w:sz w:val="32"/>
          <w:szCs w:val="32"/>
          <w:highlight w:val="none"/>
        </w:rPr>
        <w:fldChar w:fldCharType="end"/>
      </w:r>
      <w:r>
        <w:rPr>
          <w:rFonts w:hint="default" w:ascii="Times New Roman" w:hAnsi="Times New Roman" w:eastAsia="仿宋_GB2312" w:cs="Times New Roman"/>
          <w:color w:val="auto"/>
          <w:sz w:val="32"/>
          <w:szCs w:val="32"/>
          <w:highlight w:val="none"/>
        </w:rPr>
        <w:t>成本指标：</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rPr>
        <w:t>指标1：</w:t>
      </w:r>
      <w:r>
        <w:rPr>
          <w:rFonts w:hint="default" w:ascii="Times New Roman" w:hAnsi="Times New Roman" w:eastAsia="仿宋_GB2312" w:cs="Times New Roman"/>
          <w:color w:val="auto"/>
          <w:sz w:val="32"/>
          <w:szCs w:val="32"/>
          <w:highlight w:val="none"/>
          <w:lang w:val="en-US" w:eastAsia="zh-CN"/>
        </w:rPr>
        <w:t>固定资产清查审计费，</w:t>
      </w:r>
      <w:r>
        <w:rPr>
          <w:rFonts w:hint="default" w:ascii="Times New Roman" w:hAnsi="Times New Roman" w:eastAsia="仿宋_GB2312" w:cs="Times New Roman"/>
          <w:color w:val="auto"/>
          <w:sz w:val="32"/>
          <w:szCs w:val="32"/>
          <w:highlight w:val="none"/>
        </w:rPr>
        <w:t>指标值：</w:t>
      </w:r>
      <w:r>
        <w:rPr>
          <w:rFonts w:hint="default" w:ascii="Times New Roman" w:hAnsi="Times New Roman" w:eastAsia="仿宋_GB2312" w:cs="Times New Roman"/>
          <w:color w:val="auto"/>
          <w:sz w:val="32"/>
          <w:szCs w:val="32"/>
          <w:highlight w:val="none"/>
          <w:lang w:val="en-US" w:eastAsia="zh-CN"/>
        </w:rPr>
        <w:t>≤6.2万元</w:t>
      </w:r>
      <w:r>
        <w:rPr>
          <w:rFonts w:hint="default" w:ascii="Times New Roman" w:hAnsi="Times New Roman" w:eastAsia="仿宋_GB2312" w:cs="Times New Roman"/>
          <w:color w:val="auto"/>
          <w:sz w:val="32"/>
          <w:szCs w:val="32"/>
          <w:highlight w:val="none"/>
        </w:rPr>
        <w:t>，实际完成值：</w:t>
      </w:r>
      <w:r>
        <w:rPr>
          <w:rFonts w:hint="default" w:ascii="Times New Roman" w:hAnsi="Times New Roman" w:eastAsia="仿宋_GB2312" w:cs="Times New Roman"/>
          <w:color w:val="auto"/>
          <w:sz w:val="32"/>
          <w:szCs w:val="32"/>
          <w:highlight w:val="none"/>
          <w:lang w:val="en-US" w:eastAsia="zh-CN"/>
        </w:rPr>
        <w:t>6.2万元</w:t>
      </w:r>
      <w:r>
        <w:rPr>
          <w:rFonts w:hint="default" w:ascii="Times New Roman" w:hAnsi="Times New Roman" w:eastAsia="仿宋_GB2312" w:cs="Times New Roman"/>
          <w:color w:val="auto"/>
          <w:sz w:val="32"/>
          <w:szCs w:val="32"/>
          <w:highlight w:val="none"/>
        </w:rPr>
        <w:t>，指标完成率</w:t>
      </w:r>
      <w:r>
        <w:rPr>
          <w:rFonts w:hint="default" w:ascii="Times New Roman" w:hAnsi="Times New Roman"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rPr>
        <w:t>%</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lang w:val="en-US" w:eastAsia="zh-CN"/>
        </w:rPr>
        <w:t>偏差原因：无偏差。</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rPr>
        <w:t>指标</w:t>
      </w:r>
      <w:r>
        <w:rPr>
          <w:rFonts w:hint="default" w:ascii="Times New Roman" w:hAnsi="Times New Roman" w:eastAsia="仿宋_GB2312" w:cs="Times New Roman"/>
          <w:color w:val="auto"/>
          <w:sz w:val="32"/>
          <w:szCs w:val="32"/>
          <w:highlight w:val="none"/>
          <w:lang w:val="en-US" w:eastAsia="zh-CN"/>
        </w:rPr>
        <w:t>2</w:t>
      </w:r>
      <w:r>
        <w:rPr>
          <w:rFonts w:hint="default" w:ascii="Times New Roman" w:hAnsi="Times New Roman" w:eastAsia="仿宋_GB2312" w:cs="Times New Roman"/>
          <w:color w:val="auto"/>
          <w:sz w:val="32"/>
          <w:szCs w:val="32"/>
          <w:highlight w:val="none"/>
        </w:rPr>
        <w:t>：</w:t>
      </w:r>
      <w:r>
        <w:rPr>
          <w:rFonts w:hint="default" w:ascii="Times New Roman" w:hAnsi="Times New Roman" w:eastAsia="仿宋_GB2312" w:cs="Times New Roman"/>
          <w:color w:val="auto"/>
          <w:sz w:val="32"/>
          <w:szCs w:val="32"/>
          <w:highlight w:val="none"/>
          <w:lang w:val="en-US" w:eastAsia="zh-CN"/>
        </w:rPr>
        <w:t>固定资产鉴证报告审计费，</w:t>
      </w:r>
      <w:r>
        <w:rPr>
          <w:rFonts w:hint="default" w:ascii="Times New Roman" w:hAnsi="Times New Roman" w:eastAsia="仿宋_GB2312" w:cs="Times New Roman"/>
          <w:color w:val="auto"/>
          <w:sz w:val="32"/>
          <w:szCs w:val="32"/>
          <w:highlight w:val="none"/>
        </w:rPr>
        <w:t>指标值：</w:t>
      </w:r>
      <w:r>
        <w:rPr>
          <w:rFonts w:hint="default" w:ascii="Times New Roman" w:hAnsi="Times New Roman" w:eastAsia="仿宋_GB2312" w:cs="Times New Roman"/>
          <w:color w:val="auto"/>
          <w:sz w:val="32"/>
          <w:szCs w:val="32"/>
          <w:highlight w:val="none"/>
          <w:lang w:val="en-US" w:eastAsia="zh-CN"/>
        </w:rPr>
        <w:t>≤4.2万元</w:t>
      </w:r>
      <w:r>
        <w:rPr>
          <w:rFonts w:hint="default" w:ascii="Times New Roman" w:hAnsi="Times New Roman" w:eastAsia="仿宋_GB2312" w:cs="Times New Roman"/>
          <w:color w:val="auto"/>
          <w:sz w:val="32"/>
          <w:szCs w:val="32"/>
          <w:highlight w:val="none"/>
        </w:rPr>
        <w:t>，实际完成值：</w:t>
      </w:r>
      <w:r>
        <w:rPr>
          <w:rFonts w:hint="default" w:ascii="Times New Roman" w:hAnsi="Times New Roman" w:eastAsia="仿宋_GB2312" w:cs="Times New Roman"/>
          <w:color w:val="auto"/>
          <w:sz w:val="32"/>
          <w:szCs w:val="32"/>
          <w:highlight w:val="none"/>
          <w:lang w:val="en-US" w:eastAsia="zh-CN"/>
        </w:rPr>
        <w:t>4.2万元</w:t>
      </w:r>
      <w:r>
        <w:rPr>
          <w:rFonts w:hint="default" w:ascii="Times New Roman" w:hAnsi="Times New Roman" w:eastAsia="仿宋_GB2312" w:cs="Times New Roman"/>
          <w:color w:val="auto"/>
          <w:sz w:val="32"/>
          <w:szCs w:val="32"/>
          <w:highlight w:val="none"/>
        </w:rPr>
        <w:t>，指标完成率</w:t>
      </w:r>
      <w:r>
        <w:rPr>
          <w:rFonts w:hint="default" w:ascii="Times New Roman" w:hAnsi="Times New Roman"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rPr>
        <w:t>%</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lang w:val="en-US" w:eastAsia="zh-CN"/>
        </w:rPr>
        <w:t>偏差原因：无偏差。</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p>
    <w:p>
      <w:pPr>
        <w:pStyle w:val="6"/>
        <w:numPr>
          <w:ilvl w:val="0"/>
          <w:numId w:val="5"/>
        </w:numPr>
        <w:spacing w:line="560" w:lineRule="exact"/>
        <w:ind w:firstLine="643"/>
        <w:rPr>
          <w:rFonts w:hint="default" w:ascii="Times New Roman" w:hAnsi="Times New Roman" w:eastAsia="楷体_GB2312" w:cs="Times New Roman"/>
          <w:b/>
          <w:bCs/>
          <w:color w:val="auto"/>
          <w:sz w:val="32"/>
          <w:szCs w:val="32"/>
          <w:lang w:val="en-US" w:eastAsia="zh-CN"/>
        </w:rPr>
      </w:pPr>
      <w:r>
        <w:rPr>
          <w:rFonts w:hint="default" w:ascii="Times New Roman" w:hAnsi="Times New Roman" w:eastAsia="楷体_GB2312" w:cs="Times New Roman"/>
          <w:b/>
          <w:bCs/>
          <w:color w:val="auto"/>
          <w:sz w:val="32"/>
          <w:szCs w:val="32"/>
          <w:lang w:val="en-US" w:eastAsia="zh-CN"/>
        </w:rPr>
        <w:t>项目效益情况</w:t>
      </w:r>
    </w:p>
    <w:p>
      <w:pPr>
        <w:shd w:val="clear"/>
        <w:spacing w:line="600" w:lineRule="exact"/>
        <w:ind w:firstLine="640" w:firstLineChars="200"/>
        <w:outlineLvl w:val="0"/>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highlight w:val="none"/>
          <w:lang w:val="en-US" w:eastAsia="zh-CN"/>
        </w:rPr>
        <w:t>项目效益类指标包括项目实施效益和满意度两方面的内容，由1个三级指标构成，权重分为20分，实际得分20分，得分率为100%。具体效益指</w:t>
      </w:r>
      <w:r>
        <w:rPr>
          <w:rFonts w:hint="default" w:ascii="Times New Roman" w:hAnsi="Times New Roman" w:eastAsia="仿宋_GB2312" w:cs="Times New Roman"/>
          <w:color w:val="auto"/>
          <w:sz w:val="32"/>
          <w:szCs w:val="32"/>
          <w:lang w:val="en-US" w:eastAsia="zh-CN"/>
        </w:rPr>
        <w:t>标及满意度指标完成情况如下：</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1.实施效益：</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①经济效益指标：保障国有资产完整性，</w:t>
      </w:r>
      <w:r>
        <w:rPr>
          <w:rFonts w:hint="default" w:ascii="Times New Roman" w:hAnsi="Times New Roman" w:eastAsia="仿宋_GB2312" w:cs="Times New Roman"/>
          <w:color w:val="auto"/>
          <w:sz w:val="32"/>
          <w:szCs w:val="32"/>
          <w:highlight w:val="none"/>
        </w:rPr>
        <w:t>指标值：</w:t>
      </w:r>
      <w:r>
        <w:rPr>
          <w:rFonts w:hint="default" w:ascii="Times New Roman" w:hAnsi="Times New Roman" w:eastAsia="仿宋_GB2312" w:cs="Times New Roman"/>
          <w:color w:val="auto"/>
          <w:sz w:val="32"/>
          <w:szCs w:val="32"/>
          <w:highlight w:val="none"/>
          <w:lang w:val="en-US" w:eastAsia="zh-CN"/>
        </w:rPr>
        <w:t>有效保障</w:t>
      </w:r>
      <w:r>
        <w:rPr>
          <w:rFonts w:hint="default" w:ascii="Times New Roman" w:hAnsi="Times New Roman" w:eastAsia="仿宋_GB2312" w:cs="Times New Roman"/>
          <w:color w:val="auto"/>
          <w:sz w:val="32"/>
          <w:szCs w:val="32"/>
          <w:highlight w:val="none"/>
        </w:rPr>
        <w:t>，实际完成值：</w:t>
      </w:r>
      <w:r>
        <w:rPr>
          <w:rFonts w:hint="default" w:ascii="Times New Roman" w:hAnsi="Times New Roman" w:eastAsia="仿宋_GB2312" w:cs="Times New Roman"/>
          <w:color w:val="auto"/>
          <w:sz w:val="32"/>
          <w:szCs w:val="32"/>
          <w:highlight w:val="none"/>
          <w:lang w:val="en-US" w:eastAsia="zh-CN"/>
        </w:rPr>
        <w:t>有效保障</w:t>
      </w:r>
      <w:r>
        <w:rPr>
          <w:rFonts w:hint="default" w:ascii="Times New Roman" w:hAnsi="Times New Roman" w:eastAsia="仿宋_GB2312" w:cs="Times New Roman"/>
          <w:color w:val="auto"/>
          <w:sz w:val="32"/>
          <w:szCs w:val="32"/>
          <w:highlight w:val="none"/>
        </w:rPr>
        <w:t>，指标完成率</w:t>
      </w:r>
      <w:r>
        <w:rPr>
          <w:rFonts w:hint="default" w:ascii="Times New Roman" w:hAnsi="Times New Roman"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rPr>
        <w:t>%</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lang w:val="en-US" w:eastAsia="zh-CN"/>
        </w:rPr>
        <w:t>偏差原因：无偏差。</w:t>
      </w:r>
    </w:p>
    <w:p>
      <w:pPr>
        <w:spacing w:line="560" w:lineRule="exact"/>
        <w:ind w:firstLine="640" w:firstLineChars="200"/>
        <w:rPr>
          <w:rFonts w:hint="default" w:ascii="Times New Roman" w:hAnsi="Times New Roman" w:eastAsia="黑体" w:cs="Times New Roman"/>
          <w:b w:val="0"/>
          <w:bCs w:val="0"/>
          <w:color w:val="auto"/>
          <w:sz w:val="32"/>
          <w:szCs w:val="32"/>
          <w:lang w:val="en-US" w:eastAsia="zh-Hans"/>
        </w:rPr>
      </w:pPr>
      <w:r>
        <w:rPr>
          <w:rFonts w:hint="default" w:ascii="Times New Roman" w:hAnsi="Times New Roman" w:eastAsia="黑体" w:cs="Times New Roman"/>
          <w:b w:val="0"/>
          <w:bCs w:val="0"/>
          <w:color w:val="auto"/>
          <w:sz w:val="32"/>
          <w:szCs w:val="32"/>
          <w:lang w:val="en-US" w:eastAsia="zh-CN"/>
        </w:rPr>
        <w:t>五、</w:t>
      </w:r>
      <w:r>
        <w:rPr>
          <w:rFonts w:hint="default" w:ascii="Times New Roman" w:hAnsi="Times New Roman" w:eastAsia="黑体" w:cs="Times New Roman"/>
          <w:b w:val="0"/>
          <w:bCs w:val="0"/>
          <w:color w:val="auto"/>
          <w:sz w:val="32"/>
          <w:szCs w:val="32"/>
          <w:lang w:val="en-US" w:eastAsia="zh-Hans"/>
        </w:rPr>
        <w:t>预算执行进度与绩效指标总体完成率偏差</w:t>
      </w:r>
    </w:p>
    <w:p>
      <w:pPr>
        <w:pStyle w:val="22"/>
        <w:spacing w:line="560" w:lineRule="exact"/>
        <w:ind w:firstLine="640"/>
        <w:rPr>
          <w:rFonts w:hint="eastAsia" w:ascii="Times New Roman" w:hAnsi="Times New Roman" w:eastAsia="仿宋_GB2312" w:cs="Times New Roman"/>
          <w:b w:val="0"/>
          <w:bCs w:val="0"/>
          <w:color w:val="auto"/>
          <w:sz w:val="32"/>
          <w:szCs w:val="32"/>
          <w:highlight w:val="none"/>
          <w:lang w:eastAsia="zh-CN"/>
        </w:rPr>
      </w:pPr>
      <w:r>
        <w:rPr>
          <w:rFonts w:hint="default" w:ascii="Times New Roman" w:hAnsi="Times New Roman" w:eastAsia="仿宋_GB2312" w:cs="Times New Roman"/>
          <w:b w:val="0"/>
          <w:bCs w:val="0"/>
          <w:color w:val="auto"/>
          <w:sz w:val="32"/>
          <w:szCs w:val="32"/>
          <w:highlight w:val="none"/>
        </w:rPr>
        <w:t>资产清查及资产核销专项业务项目年初预算</w:t>
      </w:r>
      <w:r>
        <w:rPr>
          <w:rFonts w:hint="default" w:ascii="Times New Roman" w:hAnsi="Times New Roman" w:eastAsia="仿宋_GB2312" w:cs="Times New Roman"/>
          <w:b w:val="0"/>
          <w:bCs w:val="0"/>
          <w:color w:val="auto"/>
          <w:sz w:val="32"/>
          <w:szCs w:val="32"/>
          <w:highlight w:val="none"/>
          <w:lang w:val="en-US" w:eastAsia="zh-CN"/>
        </w:rPr>
        <w:t>10.4</w:t>
      </w:r>
      <w:r>
        <w:rPr>
          <w:rFonts w:hint="default" w:ascii="Times New Roman" w:hAnsi="Times New Roman" w:eastAsia="仿宋_GB2312" w:cs="Times New Roman"/>
          <w:b w:val="0"/>
          <w:bCs w:val="0"/>
          <w:color w:val="auto"/>
          <w:sz w:val="32"/>
          <w:szCs w:val="32"/>
          <w:highlight w:val="none"/>
        </w:rPr>
        <w:t>万元，</w:t>
      </w:r>
      <w:r>
        <w:rPr>
          <w:rFonts w:hint="default" w:ascii="Times New Roman" w:hAnsi="Times New Roman" w:eastAsia="仿宋_GB2312" w:cs="Times New Roman"/>
          <w:color w:val="auto"/>
          <w:kern w:val="2"/>
          <w:sz w:val="32"/>
          <w:szCs w:val="32"/>
          <w:highlight w:val="none"/>
          <w:lang w:val="en-US" w:eastAsia="zh-CN" w:bidi="ar-SA"/>
        </w:rPr>
        <w:t>全年预算10.4万元，实际支出10.4万元，预算执行率为100%，</w:t>
      </w:r>
      <w:r>
        <w:rPr>
          <w:rFonts w:hint="eastAsia" w:ascii="仿宋_GB2312" w:hAnsi="仿宋_GB2312" w:eastAsia="仿宋_GB2312" w:cs="仿宋_GB2312"/>
          <w:b w:val="0"/>
          <w:bCs w:val="0"/>
          <w:color w:val="auto"/>
          <w:sz w:val="32"/>
          <w:szCs w:val="32"/>
          <w:highlight w:val="none"/>
        </w:rPr>
        <w:t>项目绩效指标总体完成</w:t>
      </w:r>
      <w:r>
        <w:rPr>
          <w:rFonts w:hint="default" w:ascii="Times New Roman" w:hAnsi="Times New Roman" w:eastAsia="仿宋_GB2312" w:cs="Times New Roman"/>
          <w:b w:val="0"/>
          <w:bCs w:val="0"/>
          <w:color w:val="auto"/>
          <w:sz w:val="32"/>
          <w:szCs w:val="32"/>
          <w:highlight w:val="none"/>
        </w:rPr>
        <w:t>率为</w:t>
      </w:r>
      <w:r>
        <w:rPr>
          <w:rFonts w:hint="default" w:ascii="Times New Roman" w:hAnsi="Times New Roman" w:eastAsia="仿宋_GB2312" w:cs="Times New Roman"/>
          <w:b w:val="0"/>
          <w:bCs w:val="0"/>
          <w:color w:val="auto"/>
          <w:sz w:val="32"/>
          <w:szCs w:val="32"/>
          <w:highlight w:val="none"/>
          <w:lang w:val="en-US" w:eastAsia="zh-CN"/>
        </w:rPr>
        <w:t>100</w:t>
      </w:r>
      <w:r>
        <w:rPr>
          <w:rFonts w:hint="default" w:ascii="Times New Roman" w:hAnsi="Times New Roman" w:eastAsia="仿宋_GB2312" w:cs="Times New Roman"/>
          <w:b w:val="0"/>
          <w:bCs w:val="0"/>
          <w:color w:val="auto"/>
          <w:sz w:val="32"/>
          <w:szCs w:val="32"/>
          <w:highlight w:val="none"/>
        </w:rPr>
        <w:t>%，</w:t>
      </w:r>
      <w:r>
        <w:rPr>
          <w:rFonts w:hint="default" w:ascii="Times New Roman" w:hAnsi="Times New Roman" w:eastAsia="仿宋_GB2312" w:cs="Times New Roman"/>
          <w:b w:val="0"/>
          <w:bCs w:val="0"/>
          <w:color w:val="auto"/>
          <w:sz w:val="32"/>
          <w:szCs w:val="32"/>
          <w:highlight w:val="none"/>
          <w:lang w:eastAsia="zh-Hans"/>
        </w:rPr>
        <w:t>总体</w:t>
      </w:r>
      <w:r>
        <w:rPr>
          <w:rFonts w:hint="default" w:ascii="Times New Roman" w:hAnsi="Times New Roman" w:eastAsia="仿宋_GB2312" w:cs="Times New Roman"/>
          <w:b w:val="0"/>
          <w:bCs w:val="0"/>
          <w:color w:val="auto"/>
          <w:sz w:val="32"/>
          <w:szCs w:val="32"/>
          <w:highlight w:val="none"/>
        </w:rPr>
        <w:t>偏差率为</w:t>
      </w:r>
      <w:r>
        <w:rPr>
          <w:rFonts w:hint="default" w:ascii="Times New Roman" w:hAnsi="Times New Roman" w:eastAsia="仿宋_GB2312" w:cs="Times New Roman"/>
          <w:b w:val="0"/>
          <w:bCs w:val="0"/>
          <w:color w:val="auto"/>
          <w:sz w:val="32"/>
          <w:szCs w:val="32"/>
          <w:highlight w:val="none"/>
          <w:lang w:val="en-US" w:eastAsia="zh-CN"/>
        </w:rPr>
        <w:t>0</w:t>
      </w:r>
      <w:r>
        <w:rPr>
          <w:rFonts w:hint="default" w:ascii="Times New Roman" w:hAnsi="Times New Roman" w:eastAsia="仿宋_GB2312" w:cs="Times New Roman"/>
          <w:b w:val="0"/>
          <w:bCs w:val="0"/>
          <w:color w:val="auto"/>
          <w:sz w:val="32"/>
          <w:szCs w:val="32"/>
          <w:highlight w:val="none"/>
        </w:rPr>
        <w:t>%</w:t>
      </w:r>
      <w:r>
        <w:rPr>
          <w:rFonts w:hint="eastAsia" w:ascii="Times New Roman" w:hAnsi="Times New Roman" w:eastAsia="仿宋_GB2312" w:cs="Times New Roman"/>
          <w:b w:val="0"/>
          <w:bCs w:val="0"/>
          <w:color w:val="auto"/>
          <w:sz w:val="32"/>
          <w:szCs w:val="32"/>
          <w:highlight w:val="none"/>
          <w:lang w:eastAsia="zh-CN"/>
        </w:rPr>
        <w:t>。</w:t>
      </w:r>
    </w:p>
    <w:p>
      <w:pPr>
        <w:spacing w:line="560" w:lineRule="exact"/>
        <w:ind w:firstLine="640" w:firstLineChars="200"/>
        <w:rPr>
          <w:rStyle w:val="21"/>
          <w:rFonts w:hint="default" w:ascii="Times New Roman" w:hAnsi="Times New Roman" w:cs="Times New Roman"/>
          <w:color w:val="auto"/>
        </w:rPr>
      </w:pPr>
      <w:r>
        <w:rPr>
          <w:rFonts w:hint="default" w:ascii="Times New Roman" w:hAnsi="Times New Roman" w:eastAsia="黑体" w:cs="Times New Roman"/>
          <w:color w:val="auto"/>
          <w:sz w:val="32"/>
          <w:szCs w:val="32"/>
          <w:lang w:val="en-US" w:eastAsia="zh-CN"/>
        </w:rPr>
        <w:t>六</w:t>
      </w:r>
      <w:r>
        <w:rPr>
          <w:rFonts w:hint="default" w:ascii="Times New Roman" w:hAnsi="Times New Roman" w:eastAsia="仿宋_GB2312" w:cs="Times New Roman"/>
          <w:b/>
          <w:bCs/>
          <w:color w:val="auto"/>
          <w:sz w:val="32"/>
          <w:szCs w:val="32"/>
          <w:lang w:val="en-US" w:eastAsia="zh-CN"/>
        </w:rPr>
        <w:t>.</w:t>
      </w:r>
      <w:r>
        <w:rPr>
          <w:rFonts w:hint="default" w:ascii="Times New Roman" w:hAnsi="Times New Roman" w:eastAsia="黑体" w:cs="Times New Roman"/>
          <w:color w:val="auto"/>
          <w:sz w:val="32"/>
          <w:szCs w:val="32"/>
        </w:rPr>
        <w:t>主要经验及做法、存在的问题及原因分析</w:t>
      </w:r>
    </w:p>
    <w:p>
      <w:pPr>
        <w:spacing w:line="560" w:lineRule="exact"/>
        <w:ind w:firstLine="627" w:firstLineChars="200"/>
        <w:rPr>
          <w:rFonts w:hint="default" w:ascii="Times New Roman" w:hAnsi="Times New Roman" w:eastAsia="楷体" w:cs="Times New Roman"/>
          <w:b/>
          <w:color w:val="auto"/>
          <w:spacing w:val="-4"/>
          <w:sz w:val="32"/>
          <w:szCs w:val="32"/>
        </w:rPr>
      </w:pPr>
      <w:r>
        <w:rPr>
          <w:rFonts w:hint="default" w:ascii="Times New Roman" w:hAnsi="Times New Roman" w:eastAsia="楷体" w:cs="Times New Roman"/>
          <w:b/>
          <w:color w:val="auto"/>
          <w:spacing w:val="-4"/>
          <w:sz w:val="32"/>
          <w:szCs w:val="32"/>
        </w:rPr>
        <w:t>（一）主要经验及做法</w:t>
      </w:r>
    </w:p>
    <w:p>
      <w:pPr>
        <w:shd w:val="clear" w:color="auto" w:fill="auto"/>
        <w:spacing w:line="600" w:lineRule="exact"/>
        <w:ind w:firstLine="640" w:firstLineChars="200"/>
        <w:outlineLvl w:val="0"/>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en-US" w:eastAsia="zh-CN"/>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p>
    <w:p>
      <w:pPr>
        <w:shd w:val="clear" w:color="auto" w:fill="auto"/>
        <w:spacing w:line="600" w:lineRule="exact"/>
        <w:ind w:firstLine="640" w:firstLineChars="200"/>
        <w:outlineLvl w:val="0"/>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en-US" w:eastAsia="zh-CN"/>
        </w:rPr>
        <w:t>严格坚持先做事、后验收、再拨付的原则，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p>
    <w:p>
      <w:pPr>
        <w:keepNext/>
        <w:keepLines/>
        <w:numPr>
          <w:ilvl w:val="0"/>
          <w:numId w:val="6"/>
        </w:numPr>
        <w:spacing w:line="560" w:lineRule="exact"/>
        <w:ind w:firstLine="643" w:firstLineChars="200"/>
        <w:rPr>
          <w:rFonts w:hint="default" w:ascii="Times New Roman" w:hAnsi="Times New Roman" w:eastAsia="楷体_GB2312" w:cs="Times New Roman"/>
          <w:b/>
          <w:bCs/>
          <w:color w:val="auto"/>
          <w:sz w:val="32"/>
          <w:szCs w:val="32"/>
        </w:rPr>
      </w:pPr>
      <w:r>
        <w:rPr>
          <w:rFonts w:hint="default" w:ascii="Times New Roman" w:hAnsi="Times New Roman" w:eastAsia="楷体_GB2312" w:cs="Times New Roman"/>
          <w:b/>
          <w:bCs/>
          <w:color w:val="auto"/>
          <w:sz w:val="32"/>
          <w:szCs w:val="32"/>
        </w:rPr>
        <w:t>存在的问题及原因分析</w:t>
      </w:r>
    </w:p>
    <w:p>
      <w:pPr>
        <w:shd w:val="clear" w:color="auto" w:fill="auto"/>
        <w:spacing w:line="600" w:lineRule="exact"/>
        <w:ind w:firstLine="640" w:firstLineChars="200"/>
        <w:outlineLvl w:val="0"/>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en-US" w:eastAsia="zh-CN"/>
        </w:rPr>
        <w:t>1.相关绩效管理方面专业知识的系统性学习有待加强。各项指标的设置要进一步优化、完善，主要在细化、量化上改进。在绩效自评过程中，由于部分人员缺乏相关绩效管理专业知识，自评价工作还存在自我审定的局限性，影响评价质量。</w:t>
      </w:r>
    </w:p>
    <w:p>
      <w:pPr>
        <w:shd w:val="clear" w:color="auto" w:fill="auto"/>
        <w:spacing w:line="600" w:lineRule="exact"/>
        <w:ind w:firstLine="640" w:firstLineChars="200"/>
        <w:outlineLvl w:val="0"/>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en-US" w:eastAsia="zh-CN"/>
        </w:rPr>
        <w:t>2.因岗位调整，轮换频繁，绩效工作人员交接不充分，导致历史数据掌握不全，阶段性任务落实脱节，影响整体工作推进效率。</w:t>
      </w:r>
    </w:p>
    <w:p>
      <w:pPr>
        <w:shd w:val="clear" w:color="auto" w:fill="auto"/>
        <w:spacing w:line="600" w:lineRule="exact"/>
        <w:ind w:firstLine="640" w:firstLineChars="200"/>
        <w:outlineLvl w:val="0"/>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en-US" w:eastAsia="zh-CN"/>
        </w:rPr>
        <w:t>3.绩效结果运用的制度保障和激励机制缺失，未</w:t>
      </w:r>
      <w:r>
        <w:rPr>
          <w:rFonts w:hint="eastAsia" w:eastAsia="仿宋_GB2312" w:cs="Times New Roman"/>
          <w:color w:val="auto"/>
          <w:sz w:val="32"/>
          <w:szCs w:val="32"/>
          <w:highlight w:val="none"/>
          <w:lang w:val="en-US" w:eastAsia="zh-CN"/>
        </w:rPr>
        <w:t>将</w:t>
      </w:r>
      <w:r>
        <w:rPr>
          <w:rFonts w:hint="eastAsia" w:ascii="Times New Roman" w:hAnsi="Times New Roman" w:eastAsia="仿宋_GB2312" w:cs="Times New Roman"/>
          <w:color w:val="auto"/>
          <w:sz w:val="32"/>
          <w:szCs w:val="32"/>
          <w:highlight w:val="none"/>
          <w:lang w:val="en-US" w:eastAsia="zh-CN"/>
        </w:rPr>
        <w:t>评价结果有效纳入考核体系；部门间协同整改的职责划分不清晰，缺乏跟踪督办机制。绩效评价结果与后续预算安排、项目管理优化关联度较低，部分问题整改落实不到位，存在“重评价、轻应用”现象。</w:t>
      </w:r>
    </w:p>
    <w:p>
      <w:pPr>
        <w:spacing w:line="560" w:lineRule="exact"/>
        <w:ind w:firstLine="640" w:firstLineChars="200"/>
        <w:rPr>
          <w:rFonts w:hint="default" w:ascii="Times New Roman" w:hAnsi="Times New Roman" w:eastAsia="黑体" w:cs="Times New Roman"/>
          <w:color w:val="auto"/>
          <w:sz w:val="32"/>
          <w:szCs w:val="32"/>
        </w:rPr>
      </w:pPr>
      <w:r>
        <w:rPr>
          <w:rFonts w:hint="default" w:ascii="Times New Roman" w:hAnsi="Times New Roman" w:eastAsia="黑体" w:cs="Times New Roman"/>
          <w:color w:val="auto"/>
          <w:sz w:val="32"/>
          <w:szCs w:val="32"/>
          <w:lang w:val="en-US" w:eastAsia="zh-CN"/>
        </w:rPr>
        <w:t>七.</w:t>
      </w:r>
      <w:r>
        <w:rPr>
          <w:rFonts w:hint="default" w:ascii="Times New Roman" w:hAnsi="Times New Roman" w:eastAsia="黑体" w:cs="Times New Roman"/>
          <w:color w:val="auto"/>
          <w:sz w:val="32"/>
          <w:szCs w:val="32"/>
        </w:rPr>
        <w:t>有关建议</w:t>
      </w:r>
    </w:p>
    <w:p>
      <w:pPr>
        <w:shd w:val="clear" w:color="auto" w:fill="auto"/>
        <w:spacing w:line="600" w:lineRule="exact"/>
        <w:ind w:firstLine="640" w:firstLineChars="200"/>
        <w:outlineLvl w:val="0"/>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en-US" w:eastAsia="zh-CN"/>
        </w:rPr>
        <w:t>对项目决策的建议：1.专门设定对绩效工作人员定职、定岗、定责等相关制度措施，进一步提升我单位绩效管理工作业务水平，扎实做好绩效管理工作。2.进一步规范项目建设的程序。项目前期做好可行性研究报告，更加细化实施方案，严格执行资金管理办法和财政资金管理制度，严格按照项目实施方案、招投标管理办法等稳步推进工作，各部门单位根据自己项目的特点进行总结。</w:t>
      </w:r>
    </w:p>
    <w:p>
      <w:pPr>
        <w:shd w:val="clear" w:color="auto" w:fill="auto"/>
        <w:spacing w:line="600" w:lineRule="exact"/>
        <w:ind w:firstLine="640" w:firstLineChars="200"/>
        <w:outlineLvl w:val="0"/>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en-US" w:eastAsia="zh-CN"/>
        </w:rPr>
        <w:t>对预算安排与执行的建议:建议深化预算绩效一体化管理，将绩效目标设定与预算编制紧密结合，优化资金分配结构。通过定期组织第三方绩效管理培训，提升业务人员专业能力；建立绩效岗位责任清单，明确职责分工，确保绩效目标全程跟踪。执行过程中需要严格对照预算进度，动态监控资金使用合规性，对偏离绩效目标的情况及时预警并调整，落实“花钱必问效”要求。</w:t>
      </w:r>
    </w:p>
    <w:p>
      <w:pPr>
        <w:shd w:val="clear" w:color="auto" w:fill="auto"/>
        <w:spacing w:line="600" w:lineRule="exact"/>
        <w:ind w:firstLine="640" w:firstLineChars="200"/>
        <w:outlineLvl w:val="0"/>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en-US" w:eastAsia="zh-CN"/>
        </w:rPr>
        <w:t>对资金管理的建议：1.建立健全资金全流程监管机制，强化财政制度刚性约束。2.项目启动后需同步完善财务资料归档，按节点收集并审核支出凭证、合同等资料，确保数据真实可追溯。3.定期开展资金使用合规性自查，重点核查超预算支出、挪用资金等风险点。4.对重大项目资金支出，实行“事前评估-事中跟踪-事后复盘”全流程管理。</w:t>
      </w:r>
    </w:p>
    <w:p>
      <w:pPr>
        <w:shd w:val="clear" w:color="auto" w:fill="auto"/>
        <w:spacing w:line="600" w:lineRule="exact"/>
        <w:ind w:firstLine="640" w:firstLineChars="200"/>
        <w:outlineLvl w:val="0"/>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en-US" w:eastAsia="zh-CN"/>
        </w:rPr>
        <w:t>项目管理的建议：进一步加强对绩效管理工作的组织领导，提高对预算绩效管理工作重要性的认识，总结经验查找问题，抓紧研究制定更全面更完善的绩效评价管理办法。结合食品安全考核建立绩效工作考核制度，加大全局对全面实施预算绩效管理和绩效管理工作的学习力度，让“花钱必问效，无效必问责”的理念深入工作每个环节。</w:t>
      </w:r>
    </w:p>
    <w:p>
      <w:pPr>
        <w:spacing w:line="560" w:lineRule="exact"/>
        <w:ind w:firstLine="640" w:firstLineChars="200"/>
        <w:rPr>
          <w:rFonts w:hint="default" w:ascii="Times New Roman" w:hAnsi="Times New Roman" w:eastAsia="黑体" w:cs="Times New Roman"/>
          <w:color w:val="auto"/>
          <w:sz w:val="32"/>
          <w:szCs w:val="32"/>
        </w:rPr>
      </w:pPr>
      <w:r>
        <w:rPr>
          <w:rFonts w:hint="default" w:ascii="Times New Roman" w:hAnsi="Times New Roman" w:eastAsia="黑体" w:cs="Times New Roman"/>
          <w:color w:val="auto"/>
          <w:sz w:val="32"/>
          <w:szCs w:val="32"/>
          <w:lang w:val="en-US" w:eastAsia="zh-CN"/>
        </w:rPr>
        <w:t>八</w:t>
      </w:r>
      <w:r>
        <w:rPr>
          <w:rFonts w:hint="default" w:ascii="Times New Roman" w:hAnsi="Times New Roman" w:eastAsia="仿宋_GB2312" w:cs="Times New Roman"/>
          <w:b/>
          <w:bCs/>
          <w:color w:val="auto"/>
          <w:sz w:val="32"/>
          <w:szCs w:val="32"/>
          <w:lang w:val="en-US" w:eastAsia="zh-CN"/>
        </w:rPr>
        <w:t>.</w:t>
      </w:r>
      <w:r>
        <w:rPr>
          <w:rFonts w:hint="default" w:ascii="Times New Roman" w:hAnsi="Times New Roman" w:eastAsia="黑体" w:cs="Times New Roman"/>
          <w:color w:val="auto"/>
          <w:sz w:val="32"/>
          <w:szCs w:val="32"/>
        </w:rPr>
        <w:t>其他需要说</w:t>
      </w:r>
      <w:bookmarkStart w:id="0" w:name="page8"/>
      <w:bookmarkEnd w:id="0"/>
      <w:r>
        <w:rPr>
          <w:rFonts w:hint="default" w:ascii="Times New Roman" w:hAnsi="Times New Roman" w:eastAsia="黑体" w:cs="Times New Roman"/>
          <w:color w:val="auto"/>
          <w:sz w:val="32"/>
          <w:szCs w:val="32"/>
        </w:rPr>
        <w:t>明的问题</w:t>
      </w:r>
    </w:p>
    <w:p>
      <w:pPr>
        <w:pStyle w:val="9"/>
        <w:spacing w:after="0" w:line="560" w:lineRule="exact"/>
        <w:ind w:left="0" w:leftChars="0" w:firstLine="640"/>
        <w:rPr>
          <w:rFonts w:hint="default" w:ascii="Times New Roman" w:hAnsi="Times New Roman" w:eastAsia="仿宋_GB2312" w:cs="Times New Roman"/>
          <w:color w:val="auto"/>
          <w:sz w:val="32"/>
          <w:szCs w:val="32"/>
          <w:lang w:eastAsia="zh-Hans"/>
        </w:rPr>
      </w:pPr>
      <w:r>
        <w:rPr>
          <w:rFonts w:hint="default" w:ascii="Times New Roman" w:hAnsi="Times New Roman" w:eastAsia="仿宋_GB2312" w:cs="Times New Roman"/>
          <w:color w:val="auto"/>
          <w:sz w:val="32"/>
          <w:szCs w:val="32"/>
          <w:lang w:eastAsia="zh-Hans"/>
        </w:rPr>
        <w:t>本项目无其他需说明的问题。</w:t>
      </w:r>
    </w:p>
    <w:p>
      <w:pPr>
        <w:pStyle w:val="9"/>
        <w:spacing w:after="0" w:line="560" w:lineRule="exact"/>
        <w:ind w:left="0" w:leftChars="0" w:firstLine="640"/>
        <w:rPr>
          <w:rFonts w:hint="default" w:ascii="Times New Roman" w:hAnsi="Times New Roman" w:eastAsia="仿宋_GB2312" w:cs="Times New Roman"/>
          <w:color w:val="auto"/>
          <w:sz w:val="32"/>
          <w:szCs w:val="32"/>
          <w:lang w:eastAsia="zh-CN"/>
        </w:rPr>
      </w:pPr>
    </w:p>
    <w:p>
      <w:pPr>
        <w:pStyle w:val="9"/>
        <w:spacing w:after="0" w:line="560" w:lineRule="exact"/>
        <w:ind w:left="0" w:leftChars="0" w:firstLine="640"/>
        <w:rPr>
          <w:rFonts w:hint="default" w:ascii="Times New Roman" w:hAnsi="Times New Roman" w:eastAsia="仿宋_GB2312" w:cs="Times New Roman"/>
          <w:color w:val="auto"/>
          <w:sz w:val="32"/>
          <w:szCs w:val="32"/>
          <w:lang w:val="en-US" w:eastAsia="zh-CN"/>
        </w:rPr>
      </w:pPr>
      <w:r>
        <w:rPr>
          <w:rFonts w:hint="eastAsia" w:ascii="Times New Roman" w:hAnsi="Times New Roman" w:eastAsia="仿宋_GB2312" w:cs="Times New Roman"/>
          <w:color w:val="auto"/>
          <w:sz w:val="32"/>
          <w:szCs w:val="32"/>
          <w:lang w:val="en-US" w:eastAsia="zh-CN"/>
        </w:rPr>
        <w:t xml:space="preserve">                           </w:t>
      </w:r>
    </w:p>
    <w:p>
      <w:pPr>
        <w:pStyle w:val="7"/>
        <w:rPr>
          <w:rFonts w:hint="default" w:ascii="Times New Roman" w:hAnsi="Times New Roman" w:eastAsia="黑体" w:cs="Times New Roman"/>
          <w:color w:val="auto"/>
          <w:sz w:val="32"/>
          <w:szCs w:val="32"/>
          <w:lang w:val="en-US" w:eastAsia="zh-CN"/>
        </w:rPr>
        <w:sectPr>
          <w:footerReference r:id="rId3" w:type="default"/>
          <w:pgSz w:w="11906" w:h="16838"/>
          <w:pgMar w:top="1440" w:right="1558" w:bottom="1440" w:left="1800" w:header="851" w:footer="992" w:gutter="0"/>
          <w:pgNumType w:start="1"/>
          <w:cols w:space="425" w:num="1"/>
          <w:docGrid w:type="lines" w:linePitch="312" w:charSpace="0"/>
        </w:sectPr>
      </w:pPr>
    </w:p>
    <w:p>
      <w:pPr>
        <w:spacing w:line="600" w:lineRule="exact"/>
        <w:rPr>
          <w:rFonts w:hint="default" w:ascii="Times New Roman" w:hAnsi="Times New Roman" w:eastAsia="黑体" w:cs="Times New Roman"/>
          <w:color w:val="auto"/>
          <w:sz w:val="32"/>
          <w:szCs w:val="32"/>
          <w:lang w:val="en-US" w:eastAsia="zh-CN"/>
        </w:rPr>
      </w:pPr>
      <w:r>
        <w:rPr>
          <w:rFonts w:hint="default" w:ascii="Times New Roman" w:hAnsi="Times New Roman" w:eastAsia="黑体" w:cs="Times New Roman"/>
          <w:color w:val="auto"/>
          <w:sz w:val="32"/>
          <w:szCs w:val="32"/>
          <w:lang w:val="en-US" w:eastAsia="zh-CN"/>
        </w:rPr>
        <w:t>附件1</w:t>
      </w:r>
    </w:p>
    <w:p>
      <w:pPr>
        <w:pStyle w:val="22"/>
        <w:ind w:firstLine="562"/>
        <w:jc w:val="center"/>
        <w:rPr>
          <w:rFonts w:hint="default" w:ascii="Times New Roman" w:hAnsi="Times New Roman" w:eastAsia="仿宋_GB2312" w:cs="Times New Roman"/>
          <w:color w:val="auto"/>
          <w:sz w:val="28"/>
          <w:szCs w:val="40"/>
          <w:highlight w:val="none"/>
        </w:rPr>
      </w:pPr>
      <w:bookmarkStart w:id="1" w:name="_Toc30064_WPSOffice_Level1"/>
      <w:bookmarkStart w:id="2" w:name="_Toc26499_WPSOffice_Level2"/>
      <w:r>
        <w:rPr>
          <w:rFonts w:hint="eastAsia" w:ascii="Times New Roman" w:hAnsi="Times New Roman" w:eastAsia="仿宋_GB2312" w:cs="Times New Roman"/>
          <w:b/>
          <w:bCs/>
          <w:color w:val="auto"/>
          <w:sz w:val="28"/>
          <w:szCs w:val="40"/>
          <w:highlight w:val="none"/>
          <w:lang w:val="en-US" w:eastAsia="zh-CN"/>
        </w:rPr>
        <w:t>资产清查及资产核销专项业务项目</w:t>
      </w:r>
      <w:r>
        <w:rPr>
          <w:rFonts w:hint="default" w:ascii="Times New Roman" w:hAnsi="Times New Roman" w:eastAsia="仿宋_GB2312" w:cs="Times New Roman"/>
          <w:b/>
          <w:bCs/>
          <w:color w:val="auto"/>
          <w:sz w:val="28"/>
          <w:szCs w:val="40"/>
          <w:highlight w:val="none"/>
        </w:rPr>
        <w:t>绩效评价指标体系及综合评分表</w:t>
      </w:r>
      <w:bookmarkEnd w:id="1"/>
      <w:bookmarkEnd w:id="2"/>
    </w:p>
    <w:tbl>
      <w:tblPr>
        <w:tblStyle w:val="20"/>
        <w:tblW w:w="12683" w:type="dxa"/>
        <w:jc w:val="center"/>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1004"/>
        <w:gridCol w:w="1000"/>
        <w:gridCol w:w="1071"/>
        <w:gridCol w:w="1726"/>
        <w:gridCol w:w="5216"/>
        <w:gridCol w:w="1300"/>
        <w:gridCol w:w="1366"/>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552" w:hRule="atLeast"/>
          <w:tblHeader/>
          <w:jc w:val="center"/>
        </w:trPr>
        <w:tc>
          <w:tcPr>
            <w:tcW w:w="1004" w:type="dxa"/>
            <w:shd w:val="clear" w:color="auto" w:fill="FFFFFF"/>
            <w:vAlign w:val="center"/>
          </w:tcPr>
          <w:p>
            <w:pPr>
              <w:widowControl/>
              <w:spacing w:line="0" w:lineRule="atLeast"/>
              <w:jc w:val="center"/>
              <w:rPr>
                <w:rFonts w:hint="default" w:ascii="Times New Roman" w:hAnsi="Times New Roman" w:eastAsia="仿宋_GB2312" w:cs="Times New Roman"/>
                <w:b/>
                <w:bCs/>
                <w:color w:val="auto"/>
                <w:kern w:val="0"/>
                <w:sz w:val="18"/>
                <w:szCs w:val="18"/>
              </w:rPr>
            </w:pPr>
            <w:r>
              <w:rPr>
                <w:rFonts w:hint="default" w:ascii="Times New Roman" w:hAnsi="Times New Roman" w:eastAsia="仿宋_GB2312" w:cs="Times New Roman"/>
                <w:b/>
                <w:bCs/>
                <w:color w:val="auto"/>
                <w:kern w:val="0"/>
                <w:sz w:val="18"/>
                <w:szCs w:val="18"/>
              </w:rPr>
              <w:t>一级指标</w:t>
            </w:r>
          </w:p>
        </w:tc>
        <w:tc>
          <w:tcPr>
            <w:tcW w:w="1000" w:type="dxa"/>
            <w:shd w:val="clear" w:color="auto" w:fill="FFFFFF"/>
            <w:vAlign w:val="center"/>
          </w:tcPr>
          <w:p>
            <w:pPr>
              <w:widowControl/>
              <w:spacing w:line="0" w:lineRule="atLeast"/>
              <w:jc w:val="center"/>
              <w:rPr>
                <w:rFonts w:hint="default" w:ascii="Times New Roman" w:hAnsi="Times New Roman" w:eastAsia="仿宋_GB2312" w:cs="Times New Roman"/>
                <w:b/>
                <w:bCs/>
                <w:color w:val="auto"/>
                <w:kern w:val="0"/>
                <w:sz w:val="18"/>
                <w:szCs w:val="18"/>
              </w:rPr>
            </w:pPr>
            <w:r>
              <w:rPr>
                <w:rFonts w:hint="default" w:ascii="Times New Roman" w:hAnsi="Times New Roman" w:eastAsia="仿宋_GB2312" w:cs="Times New Roman"/>
                <w:b/>
                <w:bCs/>
                <w:color w:val="auto"/>
                <w:kern w:val="0"/>
                <w:sz w:val="18"/>
                <w:szCs w:val="18"/>
              </w:rPr>
              <w:t>二级指标</w:t>
            </w: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b/>
                <w:bCs/>
                <w:color w:val="auto"/>
                <w:kern w:val="0"/>
                <w:sz w:val="18"/>
                <w:szCs w:val="18"/>
              </w:rPr>
            </w:pPr>
            <w:r>
              <w:rPr>
                <w:rFonts w:hint="default" w:ascii="Times New Roman" w:hAnsi="Times New Roman" w:eastAsia="仿宋_GB2312" w:cs="Times New Roman"/>
                <w:b/>
                <w:bCs/>
                <w:color w:val="auto"/>
                <w:kern w:val="0"/>
                <w:sz w:val="18"/>
                <w:szCs w:val="18"/>
              </w:rPr>
              <w:t>三级指标</w:t>
            </w:r>
          </w:p>
        </w:tc>
        <w:tc>
          <w:tcPr>
            <w:tcW w:w="1726" w:type="dxa"/>
            <w:shd w:val="clear" w:color="auto" w:fill="FFFFFF"/>
            <w:vAlign w:val="center"/>
          </w:tcPr>
          <w:p>
            <w:pPr>
              <w:widowControl/>
              <w:spacing w:line="0" w:lineRule="atLeast"/>
              <w:jc w:val="center"/>
              <w:rPr>
                <w:rFonts w:hint="default" w:ascii="Times New Roman" w:hAnsi="Times New Roman" w:eastAsia="仿宋_GB2312" w:cs="Times New Roman"/>
                <w:b/>
                <w:bCs/>
                <w:color w:val="auto"/>
                <w:kern w:val="0"/>
                <w:sz w:val="18"/>
                <w:szCs w:val="18"/>
              </w:rPr>
            </w:pPr>
            <w:r>
              <w:rPr>
                <w:rFonts w:hint="default" w:ascii="Times New Roman" w:hAnsi="Times New Roman" w:eastAsia="仿宋_GB2312" w:cs="Times New Roman"/>
                <w:b/>
                <w:bCs/>
                <w:color w:val="auto"/>
                <w:kern w:val="0"/>
                <w:sz w:val="18"/>
                <w:szCs w:val="18"/>
              </w:rPr>
              <w:t>指标解释</w:t>
            </w:r>
          </w:p>
        </w:tc>
        <w:tc>
          <w:tcPr>
            <w:tcW w:w="5216" w:type="dxa"/>
            <w:shd w:val="clear" w:color="auto" w:fill="FFFFFF"/>
            <w:vAlign w:val="center"/>
          </w:tcPr>
          <w:p>
            <w:pPr>
              <w:widowControl/>
              <w:spacing w:line="0" w:lineRule="atLeast"/>
              <w:jc w:val="center"/>
              <w:rPr>
                <w:rFonts w:hint="default" w:ascii="Times New Roman" w:hAnsi="Times New Roman" w:eastAsia="仿宋_GB2312" w:cs="Times New Roman"/>
                <w:b/>
                <w:bCs/>
                <w:color w:val="auto"/>
                <w:kern w:val="0"/>
                <w:sz w:val="18"/>
                <w:szCs w:val="18"/>
              </w:rPr>
            </w:pPr>
            <w:r>
              <w:rPr>
                <w:rFonts w:hint="default" w:ascii="Times New Roman" w:hAnsi="Times New Roman" w:eastAsia="仿宋_GB2312" w:cs="Times New Roman"/>
                <w:b/>
                <w:bCs/>
                <w:color w:val="auto"/>
                <w:kern w:val="0"/>
                <w:sz w:val="18"/>
                <w:szCs w:val="18"/>
              </w:rPr>
              <w:t>指标说明</w:t>
            </w:r>
          </w:p>
        </w:tc>
        <w:tc>
          <w:tcPr>
            <w:tcW w:w="1300" w:type="dxa"/>
            <w:shd w:val="clear" w:color="auto" w:fill="FFFFFF"/>
            <w:vAlign w:val="center"/>
          </w:tcPr>
          <w:p>
            <w:pPr>
              <w:widowControl/>
              <w:spacing w:line="0" w:lineRule="atLeast"/>
              <w:jc w:val="center"/>
              <w:rPr>
                <w:rFonts w:hint="default" w:ascii="Times New Roman" w:hAnsi="Times New Roman" w:eastAsia="仿宋_GB2312" w:cs="Times New Roman"/>
                <w:b/>
                <w:bCs/>
                <w:color w:val="auto"/>
                <w:kern w:val="0"/>
                <w:sz w:val="18"/>
                <w:szCs w:val="18"/>
              </w:rPr>
            </w:pPr>
            <w:r>
              <w:rPr>
                <w:rFonts w:hint="default" w:ascii="Times New Roman" w:hAnsi="Times New Roman" w:eastAsia="仿宋_GB2312" w:cs="Times New Roman"/>
                <w:b/>
                <w:bCs/>
                <w:color w:val="auto"/>
                <w:kern w:val="0"/>
                <w:sz w:val="18"/>
                <w:szCs w:val="18"/>
              </w:rPr>
              <w:t>权重</w:t>
            </w:r>
          </w:p>
        </w:tc>
        <w:tc>
          <w:tcPr>
            <w:tcW w:w="1366" w:type="dxa"/>
            <w:shd w:val="clear" w:color="auto" w:fill="FFFFFF"/>
            <w:vAlign w:val="center"/>
          </w:tcPr>
          <w:p>
            <w:pPr>
              <w:widowControl/>
              <w:spacing w:line="0" w:lineRule="atLeast"/>
              <w:jc w:val="center"/>
              <w:rPr>
                <w:rFonts w:hint="default" w:ascii="Times New Roman" w:hAnsi="Times New Roman" w:eastAsia="仿宋_GB2312" w:cs="Times New Roman"/>
                <w:b/>
                <w:bCs/>
                <w:color w:val="auto"/>
                <w:kern w:val="0"/>
                <w:sz w:val="18"/>
                <w:szCs w:val="18"/>
              </w:rPr>
            </w:pPr>
            <w:r>
              <w:rPr>
                <w:rFonts w:hint="default" w:ascii="Times New Roman" w:hAnsi="Times New Roman" w:eastAsia="仿宋_GB2312" w:cs="Times New Roman"/>
                <w:b/>
                <w:bCs/>
                <w:color w:val="auto"/>
                <w:kern w:val="0"/>
                <w:sz w:val="18"/>
                <w:szCs w:val="18"/>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2919" w:hRule="atLeast"/>
          <w:jc w:val="center"/>
        </w:trPr>
        <w:tc>
          <w:tcPr>
            <w:tcW w:w="1004" w:type="dxa"/>
            <w:vMerge w:val="restart"/>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rPr>
            </w:pPr>
          </w:p>
          <w:p>
            <w:pPr>
              <w:widowControl/>
              <w:spacing w:line="0" w:lineRule="atLeast"/>
              <w:jc w:val="center"/>
              <w:rPr>
                <w:rFonts w:hint="default" w:ascii="Times New Roman" w:hAnsi="Times New Roman" w:eastAsia="仿宋_GB2312" w:cs="Times New Roman"/>
                <w:color w:val="auto"/>
                <w:kern w:val="0"/>
                <w:sz w:val="18"/>
                <w:szCs w:val="18"/>
              </w:rPr>
            </w:pPr>
          </w:p>
          <w:p>
            <w:pPr>
              <w:widowControl/>
              <w:spacing w:line="0" w:lineRule="atLeast"/>
              <w:jc w:val="center"/>
              <w:rPr>
                <w:rFonts w:hint="default" w:ascii="Times New Roman" w:hAnsi="Times New Roman" w:eastAsia="仿宋_GB2312" w:cs="Times New Roman"/>
                <w:color w:val="auto"/>
                <w:kern w:val="0"/>
                <w:sz w:val="18"/>
                <w:szCs w:val="18"/>
              </w:rPr>
            </w:pPr>
          </w:p>
          <w:p>
            <w:pPr>
              <w:widowControl/>
              <w:spacing w:line="0" w:lineRule="atLeast"/>
              <w:jc w:val="center"/>
              <w:rPr>
                <w:rFonts w:hint="default" w:ascii="Times New Roman" w:hAnsi="Times New Roman" w:eastAsia="仿宋_GB2312" w:cs="Times New Roman"/>
                <w:color w:val="auto"/>
                <w:kern w:val="0"/>
                <w:sz w:val="18"/>
                <w:szCs w:val="18"/>
              </w:rPr>
            </w:pPr>
          </w:p>
          <w:p>
            <w:pPr>
              <w:widowControl/>
              <w:spacing w:line="0" w:lineRule="atLeast"/>
              <w:jc w:val="center"/>
              <w:rPr>
                <w:rFonts w:hint="default" w:ascii="Times New Roman" w:hAnsi="Times New Roman" w:eastAsia="仿宋_GB2312" w:cs="Times New Roman"/>
                <w:color w:val="auto"/>
                <w:kern w:val="0"/>
                <w:sz w:val="18"/>
                <w:szCs w:val="18"/>
              </w:rPr>
            </w:pPr>
          </w:p>
          <w:p>
            <w:pPr>
              <w:widowControl/>
              <w:spacing w:line="0" w:lineRule="atLeast"/>
              <w:jc w:val="center"/>
              <w:rPr>
                <w:rFonts w:hint="default" w:ascii="Times New Roman" w:hAnsi="Times New Roman" w:eastAsia="仿宋_GB2312" w:cs="Times New Roman"/>
                <w:color w:val="auto"/>
                <w:kern w:val="0"/>
                <w:sz w:val="18"/>
                <w:szCs w:val="18"/>
              </w:rPr>
            </w:pPr>
          </w:p>
          <w:p>
            <w:pPr>
              <w:widowControl/>
              <w:spacing w:line="0" w:lineRule="atLeast"/>
              <w:jc w:val="center"/>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决策　</w:t>
            </w:r>
          </w:p>
        </w:tc>
        <w:tc>
          <w:tcPr>
            <w:tcW w:w="1000" w:type="dxa"/>
            <w:vMerge w:val="restart"/>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项目立项　</w:t>
            </w: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立项依据</w:t>
            </w:r>
          </w:p>
          <w:p>
            <w:pPr>
              <w:widowControl/>
              <w:spacing w:line="0" w:lineRule="atLeast"/>
              <w:jc w:val="center"/>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充分性</w:t>
            </w:r>
          </w:p>
        </w:tc>
        <w:tc>
          <w:tcPr>
            <w:tcW w:w="1726" w:type="dxa"/>
            <w:shd w:val="clear" w:color="auto" w:fill="FFFFFF"/>
            <w:vAlign w:val="center"/>
          </w:tcPr>
          <w:p>
            <w:pPr>
              <w:widowControl/>
              <w:spacing w:line="0" w:lineRule="atLeast"/>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项目立项是否符合法律法规、相关政策、发展规划以及部门职责，用以反映和考核项目立项依据情况。</w:t>
            </w:r>
          </w:p>
        </w:tc>
        <w:tc>
          <w:tcPr>
            <w:tcW w:w="5216" w:type="dxa"/>
            <w:shd w:val="clear" w:color="auto" w:fill="FFFFFF"/>
            <w:vAlign w:val="center"/>
          </w:tcPr>
          <w:p>
            <w:pPr>
              <w:widowControl/>
              <w:spacing w:line="0" w:lineRule="atLeast"/>
              <w:jc w:val="left"/>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评价要点：</w:t>
            </w:r>
            <w:r>
              <w:rPr>
                <w:rFonts w:hint="default" w:ascii="Times New Roman" w:hAnsi="Times New Roman" w:eastAsia="仿宋_GB2312" w:cs="Times New Roman"/>
                <w:color w:val="auto"/>
                <w:kern w:val="0"/>
                <w:sz w:val="18"/>
                <w:szCs w:val="18"/>
              </w:rPr>
              <w:br w:type="textWrapping"/>
            </w:r>
            <w:r>
              <w:rPr>
                <w:rFonts w:hint="default" w:ascii="Times New Roman" w:hAnsi="Times New Roman" w:eastAsia="仿宋_GB2312" w:cs="Times New Roman"/>
                <w:color w:val="auto"/>
                <w:kern w:val="0"/>
                <w:sz w:val="18"/>
                <w:szCs w:val="18"/>
              </w:rPr>
              <w:t>①项目立项是否符合国家法律法规、国民经济发展规划和相关政策；</w:t>
            </w:r>
            <w:r>
              <w:rPr>
                <w:rFonts w:hint="default" w:ascii="Times New Roman" w:hAnsi="Times New Roman" w:eastAsia="仿宋_GB2312" w:cs="Times New Roman"/>
                <w:color w:val="auto"/>
                <w:kern w:val="0"/>
                <w:sz w:val="18"/>
                <w:szCs w:val="18"/>
              </w:rPr>
              <w:br w:type="textWrapping"/>
            </w:r>
            <w:r>
              <w:rPr>
                <w:rFonts w:hint="default" w:ascii="Times New Roman" w:hAnsi="Times New Roman" w:eastAsia="仿宋_GB2312" w:cs="Times New Roman"/>
                <w:color w:val="auto"/>
                <w:kern w:val="0"/>
                <w:sz w:val="18"/>
                <w:szCs w:val="18"/>
              </w:rPr>
              <w:t>②项目立项是否符合行业发展规划和政策要求；</w:t>
            </w:r>
            <w:r>
              <w:rPr>
                <w:rFonts w:hint="default" w:ascii="Times New Roman" w:hAnsi="Times New Roman" w:eastAsia="仿宋_GB2312" w:cs="Times New Roman"/>
                <w:color w:val="auto"/>
                <w:kern w:val="0"/>
                <w:sz w:val="18"/>
                <w:szCs w:val="18"/>
              </w:rPr>
              <w:br w:type="textWrapping"/>
            </w:r>
            <w:r>
              <w:rPr>
                <w:rFonts w:hint="default" w:ascii="Times New Roman" w:hAnsi="Times New Roman" w:eastAsia="仿宋_GB2312" w:cs="Times New Roman"/>
                <w:color w:val="auto"/>
                <w:kern w:val="0"/>
                <w:sz w:val="18"/>
                <w:szCs w:val="18"/>
              </w:rPr>
              <w:t>③项目立项是否与部门职责范围相符，属于部门履职所需；</w:t>
            </w:r>
            <w:r>
              <w:rPr>
                <w:rFonts w:hint="default" w:ascii="Times New Roman" w:hAnsi="Times New Roman" w:eastAsia="仿宋_GB2312" w:cs="Times New Roman"/>
                <w:color w:val="auto"/>
                <w:kern w:val="0"/>
                <w:sz w:val="18"/>
                <w:szCs w:val="18"/>
              </w:rPr>
              <w:br w:type="textWrapping"/>
            </w:r>
            <w:r>
              <w:rPr>
                <w:rFonts w:hint="default" w:ascii="Times New Roman" w:hAnsi="Times New Roman" w:eastAsia="仿宋_GB2312" w:cs="Times New Roman"/>
                <w:color w:val="auto"/>
                <w:kern w:val="0"/>
                <w:sz w:val="18"/>
                <w:szCs w:val="18"/>
              </w:rPr>
              <w:t>④项目是否属于公共财政支持范围，是否符合中央、地方事权支出责任划分原则；</w:t>
            </w:r>
            <w:r>
              <w:rPr>
                <w:rFonts w:hint="default" w:ascii="Times New Roman" w:hAnsi="Times New Roman" w:eastAsia="仿宋_GB2312" w:cs="Times New Roman"/>
                <w:color w:val="auto"/>
                <w:kern w:val="0"/>
                <w:sz w:val="18"/>
                <w:szCs w:val="18"/>
              </w:rPr>
              <w:br w:type="textWrapping"/>
            </w:r>
            <w:r>
              <w:rPr>
                <w:rFonts w:hint="default" w:ascii="Times New Roman" w:hAnsi="Times New Roman" w:eastAsia="仿宋_GB2312" w:cs="Times New Roman"/>
                <w:color w:val="auto"/>
                <w:kern w:val="0"/>
                <w:sz w:val="18"/>
                <w:szCs w:val="18"/>
              </w:rPr>
              <w:t>⑤项目是否与相关部门同类项目或部门内部相关项目重复。</w:t>
            </w:r>
          </w:p>
        </w:tc>
        <w:tc>
          <w:tcPr>
            <w:tcW w:w="1300" w:type="dxa"/>
            <w:shd w:val="clear" w:color="auto" w:fill="FFFFFF"/>
            <w:vAlign w:val="center"/>
          </w:tcPr>
          <w:p>
            <w:pPr>
              <w:widowControl/>
              <w:spacing w:line="0" w:lineRule="atLeast"/>
              <w:jc w:val="center"/>
              <w:rPr>
                <w:rFonts w:hint="default" w:ascii="Times New Roman" w:hAnsi="Times New Roman" w:eastAsia="仿宋_GB2312" w:cs="Times New Roman"/>
                <w:b/>
                <w:bCs/>
                <w:color w:val="auto"/>
                <w:kern w:val="0"/>
                <w:sz w:val="18"/>
                <w:szCs w:val="18"/>
              </w:rPr>
            </w:pPr>
            <w:r>
              <w:rPr>
                <w:rFonts w:hint="default" w:ascii="Times New Roman" w:hAnsi="Times New Roman" w:eastAsia="仿宋_GB2312" w:cs="Times New Roman"/>
                <w:b/>
                <w:bCs/>
                <w:color w:val="auto"/>
                <w:kern w:val="0"/>
                <w:sz w:val="18"/>
                <w:szCs w:val="18"/>
              </w:rPr>
              <w:t>3</w:t>
            </w:r>
          </w:p>
        </w:tc>
        <w:tc>
          <w:tcPr>
            <w:tcW w:w="1366" w:type="dxa"/>
            <w:shd w:val="clear" w:color="auto" w:fill="FFFFFF"/>
            <w:vAlign w:val="center"/>
          </w:tcPr>
          <w:p>
            <w:pPr>
              <w:widowControl/>
              <w:spacing w:line="0" w:lineRule="atLeast"/>
              <w:jc w:val="center"/>
              <w:rPr>
                <w:rFonts w:hint="eastAsia" w:ascii="Times New Roman" w:hAnsi="Times New Roman" w:eastAsia="仿宋_GB2312" w:cs="Times New Roman"/>
                <w:b/>
                <w:bCs/>
                <w:color w:val="auto"/>
                <w:kern w:val="0"/>
                <w:sz w:val="18"/>
                <w:szCs w:val="18"/>
                <w:lang w:eastAsia="zh-CN"/>
              </w:rPr>
            </w:pPr>
            <w:r>
              <w:rPr>
                <w:rFonts w:hint="default" w:ascii="Times New Roman" w:hAnsi="Times New Roman" w:eastAsia="仿宋_GB2312" w:cs="Times New Roman"/>
                <w:b/>
                <w:bCs/>
                <w:color w:val="auto"/>
                <w:kern w:val="0"/>
                <w:sz w:val="18"/>
                <w:szCs w:val="18"/>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90" w:hRule="atLeast"/>
          <w:jc w:val="center"/>
        </w:trPr>
        <w:tc>
          <w:tcPr>
            <w:tcW w:w="1004" w:type="dxa"/>
            <w:vMerge w:val="continue"/>
            <w:shd w:val="clear" w:color="auto" w:fill="FFFFFF"/>
            <w:vAlign w:val="center"/>
          </w:tcPr>
          <w:p>
            <w:pPr>
              <w:spacing w:line="0" w:lineRule="atLeast"/>
              <w:jc w:val="center"/>
              <w:rPr>
                <w:rFonts w:hint="default" w:ascii="Times New Roman" w:hAnsi="Times New Roman" w:eastAsia="仿宋_GB2312" w:cs="Times New Roman"/>
                <w:color w:val="auto"/>
                <w:kern w:val="0"/>
                <w:sz w:val="18"/>
                <w:szCs w:val="18"/>
              </w:rPr>
            </w:pPr>
          </w:p>
        </w:tc>
        <w:tc>
          <w:tcPr>
            <w:tcW w:w="1000" w:type="dxa"/>
            <w:vMerge w:val="continue"/>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rPr>
            </w:pP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立项程序</w:t>
            </w:r>
          </w:p>
          <w:p>
            <w:pPr>
              <w:widowControl/>
              <w:spacing w:line="0" w:lineRule="atLeast"/>
              <w:jc w:val="center"/>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规范性</w:t>
            </w:r>
          </w:p>
        </w:tc>
        <w:tc>
          <w:tcPr>
            <w:tcW w:w="1726" w:type="dxa"/>
            <w:shd w:val="clear" w:color="auto" w:fill="FFFFFF"/>
            <w:vAlign w:val="center"/>
          </w:tcPr>
          <w:p>
            <w:pPr>
              <w:widowControl/>
              <w:spacing w:line="0" w:lineRule="atLeast"/>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项目申请、设立过程是否符合相关要求，用以反映和考核项目立项的规范情况。</w:t>
            </w:r>
          </w:p>
        </w:tc>
        <w:tc>
          <w:tcPr>
            <w:tcW w:w="5216" w:type="dxa"/>
            <w:shd w:val="clear" w:color="auto" w:fill="FFFFFF"/>
            <w:vAlign w:val="center"/>
          </w:tcPr>
          <w:p>
            <w:pPr>
              <w:widowControl/>
              <w:spacing w:line="0" w:lineRule="atLeast"/>
              <w:jc w:val="left"/>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评价要点：</w:t>
            </w:r>
            <w:r>
              <w:rPr>
                <w:rFonts w:hint="default" w:ascii="Times New Roman" w:hAnsi="Times New Roman" w:eastAsia="仿宋_GB2312" w:cs="Times New Roman"/>
                <w:color w:val="auto"/>
                <w:kern w:val="0"/>
                <w:sz w:val="18"/>
                <w:szCs w:val="18"/>
              </w:rPr>
              <w:br w:type="textWrapping"/>
            </w:r>
            <w:r>
              <w:rPr>
                <w:rFonts w:hint="default" w:ascii="Times New Roman" w:hAnsi="Times New Roman" w:eastAsia="仿宋_GB2312" w:cs="Times New Roman"/>
                <w:color w:val="auto"/>
                <w:kern w:val="0"/>
                <w:sz w:val="18"/>
                <w:szCs w:val="18"/>
              </w:rPr>
              <w:t>①项目是否按照规定的程序申请设立；</w:t>
            </w:r>
            <w:r>
              <w:rPr>
                <w:rFonts w:hint="default" w:ascii="Times New Roman" w:hAnsi="Times New Roman" w:eastAsia="仿宋_GB2312" w:cs="Times New Roman"/>
                <w:color w:val="auto"/>
                <w:kern w:val="0"/>
                <w:sz w:val="18"/>
                <w:szCs w:val="18"/>
              </w:rPr>
              <w:br w:type="textWrapping"/>
            </w:r>
            <w:r>
              <w:rPr>
                <w:rFonts w:hint="default" w:ascii="Times New Roman" w:hAnsi="Times New Roman" w:eastAsia="仿宋_GB2312" w:cs="Times New Roman"/>
                <w:color w:val="auto"/>
                <w:kern w:val="0"/>
                <w:sz w:val="18"/>
                <w:szCs w:val="18"/>
              </w:rPr>
              <w:t>②审批文件、材料是否符合相关要求；</w:t>
            </w:r>
            <w:r>
              <w:rPr>
                <w:rFonts w:hint="default" w:ascii="Times New Roman" w:hAnsi="Times New Roman" w:eastAsia="仿宋_GB2312" w:cs="Times New Roman"/>
                <w:color w:val="auto"/>
                <w:kern w:val="0"/>
                <w:sz w:val="18"/>
                <w:szCs w:val="18"/>
              </w:rPr>
              <w:br w:type="textWrapping"/>
            </w:r>
            <w:r>
              <w:rPr>
                <w:rFonts w:hint="default" w:ascii="Times New Roman" w:hAnsi="Times New Roman" w:eastAsia="仿宋_GB2312" w:cs="Times New Roman"/>
                <w:color w:val="auto"/>
                <w:kern w:val="0"/>
                <w:sz w:val="18"/>
                <w:szCs w:val="18"/>
              </w:rPr>
              <w:t>③事前是否已经过必要的可行性研究、专家论证、风险评估、绩效评估、集体决策。</w:t>
            </w:r>
          </w:p>
        </w:tc>
        <w:tc>
          <w:tcPr>
            <w:tcW w:w="1300" w:type="dxa"/>
            <w:shd w:val="clear" w:color="auto" w:fill="FFFFFF"/>
            <w:vAlign w:val="center"/>
          </w:tcPr>
          <w:p>
            <w:pPr>
              <w:widowControl/>
              <w:spacing w:line="0" w:lineRule="atLeast"/>
              <w:jc w:val="center"/>
              <w:rPr>
                <w:rFonts w:hint="default" w:ascii="Times New Roman" w:hAnsi="Times New Roman" w:eastAsia="仿宋_GB2312" w:cs="Times New Roman"/>
                <w:b/>
                <w:bCs/>
                <w:color w:val="auto"/>
                <w:kern w:val="0"/>
                <w:sz w:val="18"/>
                <w:szCs w:val="18"/>
              </w:rPr>
            </w:pPr>
            <w:r>
              <w:rPr>
                <w:rFonts w:hint="default" w:ascii="Times New Roman" w:hAnsi="Times New Roman" w:eastAsia="仿宋_GB2312" w:cs="Times New Roman"/>
                <w:b/>
                <w:bCs/>
                <w:color w:val="auto"/>
                <w:kern w:val="0"/>
                <w:sz w:val="18"/>
                <w:szCs w:val="18"/>
              </w:rPr>
              <w:t>3</w:t>
            </w:r>
          </w:p>
        </w:tc>
        <w:tc>
          <w:tcPr>
            <w:tcW w:w="1366" w:type="dxa"/>
            <w:shd w:val="clear" w:color="auto" w:fill="FFFFFF"/>
            <w:vAlign w:val="center"/>
          </w:tcPr>
          <w:p>
            <w:pPr>
              <w:widowControl/>
              <w:spacing w:line="0" w:lineRule="atLeast"/>
              <w:jc w:val="center"/>
              <w:rPr>
                <w:rFonts w:hint="default" w:ascii="Times New Roman" w:hAnsi="Times New Roman" w:eastAsia="仿宋_GB2312" w:cs="Times New Roman"/>
                <w:b/>
                <w:bCs/>
                <w:color w:val="auto"/>
                <w:kern w:val="0"/>
                <w:sz w:val="18"/>
                <w:szCs w:val="18"/>
              </w:rPr>
            </w:pPr>
            <w:r>
              <w:rPr>
                <w:rFonts w:hint="default" w:ascii="Times New Roman" w:hAnsi="Times New Roman" w:eastAsia="仿宋_GB2312" w:cs="Times New Roman"/>
                <w:b/>
                <w:bCs/>
                <w:color w:val="auto"/>
                <w:kern w:val="0"/>
                <w:sz w:val="18"/>
                <w:szCs w:val="18"/>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90" w:hRule="atLeast"/>
          <w:jc w:val="center"/>
        </w:trPr>
        <w:tc>
          <w:tcPr>
            <w:tcW w:w="1004" w:type="dxa"/>
            <w:vMerge w:val="continue"/>
            <w:shd w:val="clear" w:color="auto" w:fill="FFFFFF"/>
            <w:vAlign w:val="center"/>
          </w:tcPr>
          <w:p>
            <w:pPr>
              <w:spacing w:line="0" w:lineRule="atLeast"/>
              <w:jc w:val="center"/>
              <w:rPr>
                <w:rFonts w:hint="default" w:ascii="Times New Roman" w:hAnsi="Times New Roman" w:eastAsia="仿宋_GB2312" w:cs="Times New Roman"/>
                <w:color w:val="auto"/>
                <w:kern w:val="0"/>
                <w:sz w:val="18"/>
                <w:szCs w:val="18"/>
              </w:rPr>
            </w:pPr>
          </w:p>
        </w:tc>
        <w:tc>
          <w:tcPr>
            <w:tcW w:w="1000" w:type="dxa"/>
            <w:vMerge w:val="restart"/>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绩效目标　</w:t>
            </w: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绩效目标</w:t>
            </w:r>
          </w:p>
          <w:p>
            <w:pPr>
              <w:widowControl/>
              <w:spacing w:line="0" w:lineRule="atLeast"/>
              <w:jc w:val="center"/>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合理性</w:t>
            </w:r>
          </w:p>
        </w:tc>
        <w:tc>
          <w:tcPr>
            <w:tcW w:w="1726" w:type="dxa"/>
            <w:shd w:val="clear" w:color="000000" w:fill="FFFFFF"/>
            <w:vAlign w:val="center"/>
          </w:tcPr>
          <w:p>
            <w:pPr>
              <w:widowControl/>
              <w:spacing w:line="0" w:lineRule="atLeast"/>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项目所设定的绩效目标是否依据充分，是否符合客观实际，用以反映和考核项目绩效目标与项目实施的相符情况。</w:t>
            </w:r>
          </w:p>
        </w:tc>
        <w:tc>
          <w:tcPr>
            <w:tcW w:w="5216" w:type="dxa"/>
            <w:shd w:val="clear" w:color="000000" w:fill="FFFFFF"/>
            <w:vAlign w:val="center"/>
          </w:tcPr>
          <w:p>
            <w:pPr>
              <w:widowControl/>
              <w:spacing w:line="0" w:lineRule="atLeast"/>
              <w:jc w:val="left"/>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评价要点：</w:t>
            </w:r>
            <w:r>
              <w:rPr>
                <w:rFonts w:hint="default" w:ascii="Times New Roman" w:hAnsi="Times New Roman" w:eastAsia="仿宋_GB2312" w:cs="Times New Roman"/>
                <w:color w:val="auto"/>
                <w:kern w:val="0"/>
                <w:sz w:val="18"/>
                <w:szCs w:val="18"/>
              </w:rPr>
              <w:br w:type="textWrapping"/>
            </w:r>
            <w:r>
              <w:rPr>
                <w:rFonts w:hint="default" w:ascii="Times New Roman" w:hAnsi="Times New Roman" w:eastAsia="仿宋_GB2312" w:cs="Times New Roman"/>
                <w:color w:val="auto"/>
                <w:kern w:val="0"/>
                <w:sz w:val="18"/>
                <w:szCs w:val="18"/>
              </w:rPr>
              <w:t>（如未设定预算绩效目标，也可考核其他工作任务目标）</w:t>
            </w:r>
            <w:r>
              <w:rPr>
                <w:rFonts w:hint="default" w:ascii="Times New Roman" w:hAnsi="Times New Roman" w:eastAsia="仿宋_GB2312" w:cs="Times New Roman"/>
                <w:color w:val="auto"/>
                <w:kern w:val="0"/>
                <w:sz w:val="18"/>
                <w:szCs w:val="18"/>
              </w:rPr>
              <w:br w:type="textWrapping"/>
            </w:r>
            <w:r>
              <w:rPr>
                <w:rFonts w:hint="default" w:ascii="Times New Roman" w:hAnsi="Times New Roman" w:eastAsia="仿宋_GB2312" w:cs="Times New Roman"/>
                <w:color w:val="auto"/>
                <w:kern w:val="0"/>
                <w:sz w:val="18"/>
                <w:szCs w:val="18"/>
              </w:rPr>
              <w:t>①项目是否有绩效目标；</w:t>
            </w:r>
            <w:r>
              <w:rPr>
                <w:rFonts w:hint="default" w:ascii="Times New Roman" w:hAnsi="Times New Roman" w:eastAsia="仿宋_GB2312" w:cs="Times New Roman"/>
                <w:color w:val="auto"/>
                <w:kern w:val="0"/>
                <w:sz w:val="18"/>
                <w:szCs w:val="18"/>
              </w:rPr>
              <w:br w:type="textWrapping"/>
            </w:r>
            <w:r>
              <w:rPr>
                <w:rFonts w:hint="default" w:ascii="Times New Roman" w:hAnsi="Times New Roman" w:eastAsia="仿宋_GB2312" w:cs="Times New Roman"/>
                <w:color w:val="auto"/>
                <w:kern w:val="0"/>
                <w:sz w:val="18"/>
                <w:szCs w:val="18"/>
              </w:rPr>
              <w:t>②项目绩效目标与实际工作内容是否具有相关性；</w:t>
            </w:r>
            <w:r>
              <w:rPr>
                <w:rFonts w:hint="default" w:ascii="Times New Roman" w:hAnsi="Times New Roman" w:eastAsia="仿宋_GB2312" w:cs="Times New Roman"/>
                <w:color w:val="auto"/>
                <w:kern w:val="0"/>
                <w:sz w:val="18"/>
                <w:szCs w:val="18"/>
              </w:rPr>
              <w:br w:type="textWrapping"/>
            </w:r>
            <w:r>
              <w:rPr>
                <w:rFonts w:hint="default" w:ascii="Times New Roman" w:hAnsi="Times New Roman" w:eastAsia="仿宋_GB2312" w:cs="Times New Roman"/>
                <w:color w:val="auto"/>
                <w:kern w:val="0"/>
                <w:sz w:val="18"/>
                <w:szCs w:val="18"/>
              </w:rPr>
              <w:t>③项目预期产出效益和效果是否符合正常的业绩水平；</w:t>
            </w:r>
          </w:p>
          <w:p>
            <w:pPr>
              <w:widowControl/>
              <w:spacing w:line="0" w:lineRule="atLeast"/>
              <w:jc w:val="left"/>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④是否与预算确定的项目投资额或资金量相匹配。</w:t>
            </w:r>
          </w:p>
        </w:tc>
        <w:tc>
          <w:tcPr>
            <w:tcW w:w="1300" w:type="dxa"/>
            <w:shd w:val="clear" w:color="000000" w:fill="FFFFFF"/>
            <w:vAlign w:val="center"/>
          </w:tcPr>
          <w:p>
            <w:pPr>
              <w:widowControl/>
              <w:spacing w:line="0" w:lineRule="atLeast"/>
              <w:jc w:val="center"/>
              <w:rPr>
                <w:rFonts w:hint="default" w:ascii="Times New Roman" w:hAnsi="Times New Roman" w:eastAsia="仿宋_GB2312" w:cs="Times New Roman"/>
                <w:b/>
                <w:bCs/>
                <w:color w:val="auto"/>
                <w:kern w:val="0"/>
                <w:sz w:val="18"/>
                <w:szCs w:val="18"/>
              </w:rPr>
            </w:pPr>
            <w:r>
              <w:rPr>
                <w:rFonts w:hint="default" w:ascii="Times New Roman" w:hAnsi="Times New Roman" w:eastAsia="仿宋_GB2312" w:cs="Times New Roman"/>
                <w:b/>
                <w:bCs/>
                <w:color w:val="auto"/>
                <w:kern w:val="0"/>
                <w:sz w:val="18"/>
                <w:szCs w:val="18"/>
              </w:rPr>
              <w:t>3</w:t>
            </w:r>
          </w:p>
        </w:tc>
        <w:tc>
          <w:tcPr>
            <w:tcW w:w="1366" w:type="dxa"/>
            <w:shd w:val="clear" w:color="000000" w:fill="FFFFFF"/>
            <w:vAlign w:val="center"/>
          </w:tcPr>
          <w:p>
            <w:pPr>
              <w:widowControl/>
              <w:spacing w:line="0" w:lineRule="atLeast"/>
              <w:jc w:val="center"/>
              <w:rPr>
                <w:rFonts w:hint="default" w:ascii="Times New Roman" w:hAnsi="Times New Roman" w:eastAsia="仿宋_GB2312" w:cs="Times New Roman"/>
                <w:b/>
                <w:bCs/>
                <w:color w:val="auto"/>
                <w:kern w:val="0"/>
                <w:sz w:val="18"/>
                <w:szCs w:val="18"/>
              </w:rPr>
            </w:pPr>
            <w:r>
              <w:rPr>
                <w:rFonts w:hint="default" w:ascii="Times New Roman" w:hAnsi="Times New Roman" w:eastAsia="仿宋_GB2312" w:cs="Times New Roman"/>
                <w:b/>
                <w:bCs/>
                <w:color w:val="auto"/>
                <w:kern w:val="0"/>
                <w:sz w:val="18"/>
                <w:szCs w:val="18"/>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464" w:hRule="atLeast"/>
          <w:jc w:val="center"/>
        </w:trPr>
        <w:tc>
          <w:tcPr>
            <w:tcW w:w="1004" w:type="dxa"/>
            <w:vMerge w:val="continue"/>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rPr>
            </w:pPr>
          </w:p>
        </w:tc>
        <w:tc>
          <w:tcPr>
            <w:tcW w:w="1000" w:type="dxa"/>
            <w:vMerge w:val="continue"/>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rPr>
            </w:pP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绩效指标</w:t>
            </w:r>
          </w:p>
          <w:p>
            <w:pPr>
              <w:widowControl/>
              <w:spacing w:line="0" w:lineRule="atLeast"/>
              <w:jc w:val="center"/>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明确性</w:t>
            </w:r>
          </w:p>
        </w:tc>
        <w:tc>
          <w:tcPr>
            <w:tcW w:w="1726" w:type="dxa"/>
            <w:shd w:val="clear" w:color="000000" w:fill="FFFFFF"/>
            <w:vAlign w:val="center"/>
          </w:tcPr>
          <w:p>
            <w:pPr>
              <w:widowControl/>
              <w:spacing w:line="0" w:lineRule="atLeast"/>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依据绩效目标设定的绩效指标是否清晰、细化、可衡量等，用以反映和考核项目绩效目标的明细化情况。</w:t>
            </w:r>
          </w:p>
        </w:tc>
        <w:tc>
          <w:tcPr>
            <w:tcW w:w="5216" w:type="dxa"/>
            <w:shd w:val="clear" w:color="000000" w:fill="FFFFFF"/>
            <w:vAlign w:val="center"/>
          </w:tcPr>
          <w:p>
            <w:pPr>
              <w:widowControl/>
              <w:spacing w:line="0" w:lineRule="atLeast"/>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评价要点：</w:t>
            </w:r>
            <w:r>
              <w:rPr>
                <w:rFonts w:hint="default" w:ascii="Times New Roman" w:hAnsi="Times New Roman" w:eastAsia="仿宋_GB2312" w:cs="Times New Roman"/>
                <w:color w:val="auto"/>
                <w:kern w:val="0"/>
                <w:sz w:val="18"/>
                <w:szCs w:val="18"/>
              </w:rPr>
              <w:br w:type="textWrapping"/>
            </w:r>
            <w:r>
              <w:rPr>
                <w:rFonts w:hint="default" w:ascii="Times New Roman" w:hAnsi="Times New Roman" w:eastAsia="仿宋_GB2312" w:cs="Times New Roman"/>
                <w:color w:val="auto"/>
                <w:kern w:val="0"/>
                <w:sz w:val="18"/>
                <w:szCs w:val="18"/>
              </w:rPr>
              <w:t>①是否将项目绩效目标细化分解为具体的绩效指标；</w:t>
            </w:r>
            <w:r>
              <w:rPr>
                <w:rFonts w:hint="default" w:ascii="Times New Roman" w:hAnsi="Times New Roman" w:eastAsia="仿宋_GB2312" w:cs="Times New Roman"/>
                <w:color w:val="auto"/>
                <w:kern w:val="0"/>
                <w:sz w:val="18"/>
                <w:szCs w:val="18"/>
              </w:rPr>
              <w:br w:type="textWrapping"/>
            </w:r>
            <w:r>
              <w:rPr>
                <w:rFonts w:hint="default" w:ascii="Times New Roman" w:hAnsi="Times New Roman" w:eastAsia="仿宋_GB2312" w:cs="Times New Roman"/>
                <w:color w:val="auto"/>
                <w:kern w:val="0"/>
                <w:sz w:val="18"/>
                <w:szCs w:val="18"/>
              </w:rPr>
              <w:t>②是否通过清晰、可衡量的指标值予以体现；</w:t>
            </w:r>
            <w:r>
              <w:rPr>
                <w:rFonts w:hint="default" w:ascii="Times New Roman" w:hAnsi="Times New Roman" w:eastAsia="仿宋_GB2312" w:cs="Times New Roman"/>
                <w:color w:val="auto"/>
                <w:kern w:val="0"/>
                <w:sz w:val="18"/>
                <w:szCs w:val="18"/>
              </w:rPr>
              <w:br w:type="textWrapping"/>
            </w:r>
            <w:r>
              <w:rPr>
                <w:rFonts w:hint="default" w:ascii="Times New Roman" w:hAnsi="Times New Roman" w:eastAsia="仿宋_GB2312" w:cs="Times New Roman"/>
                <w:color w:val="auto"/>
                <w:kern w:val="0"/>
                <w:sz w:val="18"/>
                <w:szCs w:val="18"/>
              </w:rPr>
              <w:t>③是否与项目目标任务数或计划数相对应。</w:t>
            </w:r>
            <w:r>
              <w:rPr>
                <w:rFonts w:hint="default" w:ascii="Times New Roman" w:hAnsi="Times New Roman" w:eastAsia="仿宋_GB2312" w:cs="Times New Roman"/>
                <w:color w:val="auto"/>
                <w:kern w:val="0"/>
                <w:sz w:val="18"/>
                <w:szCs w:val="18"/>
              </w:rPr>
              <w:br w:type="textWrapping"/>
            </w:r>
          </w:p>
        </w:tc>
        <w:tc>
          <w:tcPr>
            <w:tcW w:w="1300" w:type="dxa"/>
            <w:shd w:val="clear" w:color="000000" w:fill="FFFFFF"/>
            <w:vAlign w:val="center"/>
          </w:tcPr>
          <w:p>
            <w:pPr>
              <w:widowControl/>
              <w:spacing w:line="0" w:lineRule="atLeast"/>
              <w:jc w:val="center"/>
              <w:rPr>
                <w:rFonts w:hint="default" w:ascii="Times New Roman" w:hAnsi="Times New Roman" w:eastAsia="仿宋_GB2312" w:cs="Times New Roman"/>
                <w:b/>
                <w:bCs/>
                <w:color w:val="auto"/>
                <w:kern w:val="0"/>
                <w:sz w:val="18"/>
                <w:szCs w:val="18"/>
              </w:rPr>
            </w:pPr>
            <w:r>
              <w:rPr>
                <w:rFonts w:hint="default" w:ascii="Times New Roman" w:hAnsi="Times New Roman" w:eastAsia="仿宋_GB2312" w:cs="Times New Roman"/>
                <w:b/>
                <w:bCs/>
                <w:color w:val="auto"/>
                <w:kern w:val="0"/>
                <w:sz w:val="18"/>
                <w:szCs w:val="18"/>
              </w:rPr>
              <w:t>3</w:t>
            </w:r>
          </w:p>
        </w:tc>
        <w:tc>
          <w:tcPr>
            <w:tcW w:w="1366" w:type="dxa"/>
            <w:shd w:val="clear" w:color="000000" w:fill="FFFFFF"/>
            <w:vAlign w:val="center"/>
          </w:tcPr>
          <w:p>
            <w:pPr>
              <w:widowControl/>
              <w:spacing w:line="0" w:lineRule="atLeast"/>
              <w:jc w:val="center"/>
              <w:rPr>
                <w:rFonts w:hint="default" w:ascii="Times New Roman" w:hAnsi="Times New Roman" w:eastAsia="仿宋_GB2312" w:cs="Times New Roman"/>
                <w:b/>
                <w:bCs/>
                <w:color w:val="auto"/>
                <w:kern w:val="0"/>
                <w:sz w:val="18"/>
                <w:szCs w:val="18"/>
              </w:rPr>
            </w:pPr>
            <w:r>
              <w:rPr>
                <w:rFonts w:hint="default" w:ascii="Times New Roman" w:hAnsi="Times New Roman" w:eastAsia="仿宋_GB2312" w:cs="Times New Roman"/>
                <w:b/>
                <w:bCs/>
                <w:color w:val="auto"/>
                <w:kern w:val="0"/>
                <w:sz w:val="18"/>
                <w:szCs w:val="18"/>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942" w:hRule="atLeast"/>
          <w:jc w:val="center"/>
        </w:trPr>
        <w:tc>
          <w:tcPr>
            <w:tcW w:w="1004" w:type="dxa"/>
            <w:vMerge w:val="continue"/>
            <w:shd w:val="clear" w:color="auto" w:fill="FFFFFF"/>
            <w:vAlign w:val="center"/>
          </w:tcPr>
          <w:p>
            <w:pPr>
              <w:spacing w:line="0" w:lineRule="atLeast"/>
              <w:jc w:val="center"/>
              <w:rPr>
                <w:rFonts w:hint="default" w:ascii="Times New Roman" w:hAnsi="Times New Roman" w:eastAsia="仿宋_GB2312" w:cs="Times New Roman"/>
                <w:color w:val="auto"/>
                <w:kern w:val="0"/>
                <w:sz w:val="18"/>
                <w:szCs w:val="18"/>
              </w:rPr>
            </w:pPr>
          </w:p>
        </w:tc>
        <w:tc>
          <w:tcPr>
            <w:tcW w:w="1000" w:type="dxa"/>
            <w:vMerge w:val="restart"/>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资金投入</w:t>
            </w:r>
          </w:p>
          <w:p>
            <w:pPr>
              <w:spacing w:line="0" w:lineRule="atLeast"/>
              <w:jc w:val="center"/>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　</w:t>
            </w: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预算编制</w:t>
            </w:r>
          </w:p>
          <w:p>
            <w:pPr>
              <w:widowControl/>
              <w:spacing w:line="0" w:lineRule="atLeast"/>
              <w:jc w:val="center"/>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科学性</w:t>
            </w:r>
          </w:p>
        </w:tc>
        <w:tc>
          <w:tcPr>
            <w:tcW w:w="1726" w:type="dxa"/>
            <w:shd w:val="clear" w:color="auto" w:fill="FFFFFF"/>
            <w:vAlign w:val="center"/>
          </w:tcPr>
          <w:p>
            <w:pPr>
              <w:widowControl/>
              <w:spacing w:line="0" w:lineRule="atLeast"/>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项目预算编制是否经过科学论证、有明确标准，资金额度与年度目标是否相适应，用以反映和考核项目预算编制的科学性、合理性情况。</w:t>
            </w:r>
          </w:p>
        </w:tc>
        <w:tc>
          <w:tcPr>
            <w:tcW w:w="5216" w:type="dxa"/>
            <w:shd w:val="clear" w:color="auto" w:fill="FFFFFF"/>
            <w:vAlign w:val="center"/>
          </w:tcPr>
          <w:p>
            <w:pPr>
              <w:widowControl/>
              <w:spacing w:line="0" w:lineRule="atLeast"/>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评价要点：</w:t>
            </w:r>
            <w:r>
              <w:rPr>
                <w:rFonts w:hint="default" w:ascii="Times New Roman" w:hAnsi="Times New Roman" w:eastAsia="仿宋_GB2312" w:cs="Times New Roman"/>
                <w:color w:val="auto"/>
                <w:kern w:val="0"/>
                <w:sz w:val="18"/>
                <w:szCs w:val="18"/>
              </w:rPr>
              <w:br w:type="textWrapping"/>
            </w:r>
            <w:r>
              <w:rPr>
                <w:rFonts w:hint="default" w:ascii="Times New Roman" w:hAnsi="Times New Roman" w:eastAsia="仿宋_GB2312" w:cs="Times New Roman"/>
                <w:color w:val="auto"/>
                <w:kern w:val="0"/>
                <w:sz w:val="18"/>
                <w:szCs w:val="18"/>
              </w:rPr>
              <w:t>①预算编制是否经过科学论证；</w:t>
            </w:r>
            <w:r>
              <w:rPr>
                <w:rFonts w:hint="default" w:ascii="Times New Roman" w:hAnsi="Times New Roman" w:eastAsia="仿宋_GB2312" w:cs="Times New Roman"/>
                <w:color w:val="auto"/>
                <w:kern w:val="0"/>
                <w:sz w:val="18"/>
                <w:szCs w:val="18"/>
              </w:rPr>
              <w:br w:type="textWrapping"/>
            </w:r>
            <w:r>
              <w:rPr>
                <w:rFonts w:hint="default" w:ascii="Times New Roman" w:hAnsi="Times New Roman" w:eastAsia="仿宋_GB2312" w:cs="Times New Roman"/>
                <w:color w:val="auto"/>
                <w:kern w:val="0"/>
                <w:sz w:val="18"/>
                <w:szCs w:val="18"/>
              </w:rPr>
              <w:t>②预算内容与项目内容是否匹配；</w:t>
            </w:r>
            <w:r>
              <w:rPr>
                <w:rFonts w:hint="default" w:ascii="Times New Roman" w:hAnsi="Times New Roman" w:eastAsia="仿宋_GB2312" w:cs="Times New Roman"/>
                <w:color w:val="auto"/>
                <w:kern w:val="0"/>
                <w:sz w:val="18"/>
                <w:szCs w:val="18"/>
              </w:rPr>
              <w:br w:type="textWrapping"/>
            </w:r>
            <w:r>
              <w:rPr>
                <w:rFonts w:hint="default" w:ascii="Times New Roman" w:hAnsi="Times New Roman" w:eastAsia="仿宋_GB2312" w:cs="Times New Roman"/>
                <w:color w:val="auto"/>
                <w:kern w:val="0"/>
                <w:sz w:val="18"/>
                <w:szCs w:val="18"/>
              </w:rPr>
              <w:t>③预算额度测算依据是否充分，是否按照标准编制；</w:t>
            </w:r>
            <w:r>
              <w:rPr>
                <w:rFonts w:hint="default" w:ascii="Times New Roman" w:hAnsi="Times New Roman" w:eastAsia="仿宋_GB2312" w:cs="Times New Roman"/>
                <w:color w:val="auto"/>
                <w:kern w:val="0"/>
                <w:sz w:val="18"/>
                <w:szCs w:val="18"/>
              </w:rPr>
              <w:br w:type="textWrapping"/>
            </w:r>
            <w:r>
              <w:rPr>
                <w:rFonts w:hint="default" w:ascii="Times New Roman" w:hAnsi="Times New Roman" w:eastAsia="仿宋_GB2312" w:cs="Times New Roman"/>
                <w:color w:val="auto"/>
                <w:kern w:val="0"/>
                <w:sz w:val="18"/>
                <w:szCs w:val="18"/>
              </w:rPr>
              <w:t>④预算确定的项目投资额或资金量是否与工作任务相匹配。</w:t>
            </w:r>
          </w:p>
        </w:tc>
        <w:tc>
          <w:tcPr>
            <w:tcW w:w="1300" w:type="dxa"/>
            <w:shd w:val="clear" w:color="auto" w:fill="FFFFFF"/>
            <w:vAlign w:val="center"/>
          </w:tcPr>
          <w:p>
            <w:pPr>
              <w:widowControl/>
              <w:spacing w:line="0" w:lineRule="atLeast"/>
              <w:jc w:val="center"/>
              <w:rPr>
                <w:rFonts w:hint="default" w:ascii="Times New Roman" w:hAnsi="Times New Roman" w:eastAsia="仿宋_GB2312" w:cs="Times New Roman"/>
                <w:b/>
                <w:bCs/>
                <w:color w:val="auto"/>
                <w:kern w:val="0"/>
                <w:sz w:val="18"/>
                <w:szCs w:val="18"/>
              </w:rPr>
            </w:pPr>
            <w:r>
              <w:rPr>
                <w:rFonts w:hint="default" w:ascii="Times New Roman" w:hAnsi="Times New Roman" w:eastAsia="仿宋_GB2312" w:cs="Times New Roman"/>
                <w:b/>
                <w:bCs/>
                <w:color w:val="auto"/>
                <w:kern w:val="0"/>
                <w:sz w:val="18"/>
                <w:szCs w:val="18"/>
              </w:rPr>
              <w:t>4</w:t>
            </w:r>
          </w:p>
        </w:tc>
        <w:tc>
          <w:tcPr>
            <w:tcW w:w="1366" w:type="dxa"/>
            <w:shd w:val="clear" w:color="auto" w:fill="FFFFFF"/>
            <w:vAlign w:val="center"/>
          </w:tcPr>
          <w:p>
            <w:pPr>
              <w:widowControl/>
              <w:spacing w:line="0" w:lineRule="atLeast"/>
              <w:jc w:val="center"/>
              <w:rPr>
                <w:rFonts w:hint="default" w:ascii="Times New Roman" w:hAnsi="Times New Roman" w:eastAsia="仿宋_GB2312" w:cs="Times New Roman"/>
                <w:b/>
                <w:bCs/>
                <w:color w:val="auto"/>
                <w:kern w:val="0"/>
                <w:sz w:val="18"/>
                <w:szCs w:val="18"/>
              </w:rPr>
            </w:pPr>
            <w:r>
              <w:rPr>
                <w:rFonts w:hint="default" w:ascii="Times New Roman" w:hAnsi="Times New Roman" w:eastAsia="仿宋_GB2312" w:cs="Times New Roman"/>
                <w:b/>
                <w:bCs/>
                <w:color w:val="auto"/>
                <w:kern w:val="0"/>
                <w:sz w:val="18"/>
                <w:szCs w:val="18"/>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06" w:hRule="atLeast"/>
          <w:jc w:val="center"/>
        </w:trPr>
        <w:tc>
          <w:tcPr>
            <w:tcW w:w="1004" w:type="dxa"/>
            <w:vMerge w:val="continue"/>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rPr>
            </w:pPr>
          </w:p>
        </w:tc>
        <w:tc>
          <w:tcPr>
            <w:tcW w:w="1000" w:type="dxa"/>
            <w:vMerge w:val="continue"/>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rPr>
            </w:pP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资金分配</w:t>
            </w:r>
          </w:p>
          <w:p>
            <w:pPr>
              <w:widowControl/>
              <w:spacing w:line="0" w:lineRule="atLeast"/>
              <w:jc w:val="center"/>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合理性</w:t>
            </w:r>
          </w:p>
        </w:tc>
        <w:tc>
          <w:tcPr>
            <w:tcW w:w="1726" w:type="dxa"/>
            <w:shd w:val="clear" w:color="auto" w:fill="FFFFFF"/>
            <w:vAlign w:val="center"/>
          </w:tcPr>
          <w:p>
            <w:pPr>
              <w:widowControl/>
              <w:spacing w:line="0" w:lineRule="atLeast"/>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项目预算资金分配是否有测算依据，与补助单位或地方实际是否相适应，用以反映和考核项目预算资金分配的科学性、合理性情况。</w:t>
            </w:r>
          </w:p>
        </w:tc>
        <w:tc>
          <w:tcPr>
            <w:tcW w:w="5216" w:type="dxa"/>
            <w:shd w:val="clear" w:color="auto" w:fill="FFFFFF"/>
            <w:vAlign w:val="center"/>
          </w:tcPr>
          <w:p>
            <w:pPr>
              <w:widowControl/>
              <w:spacing w:line="0" w:lineRule="atLeast"/>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评价要点：</w:t>
            </w:r>
            <w:r>
              <w:rPr>
                <w:rFonts w:hint="default" w:ascii="Times New Roman" w:hAnsi="Times New Roman" w:eastAsia="仿宋_GB2312" w:cs="Times New Roman"/>
                <w:color w:val="auto"/>
                <w:kern w:val="0"/>
                <w:sz w:val="18"/>
                <w:szCs w:val="18"/>
              </w:rPr>
              <w:br w:type="textWrapping"/>
            </w:r>
            <w:r>
              <w:rPr>
                <w:rFonts w:hint="default" w:ascii="Times New Roman" w:hAnsi="Times New Roman" w:eastAsia="仿宋_GB2312" w:cs="Times New Roman"/>
                <w:color w:val="auto"/>
                <w:kern w:val="0"/>
                <w:sz w:val="18"/>
                <w:szCs w:val="18"/>
              </w:rPr>
              <w:t>①预算资金分配依据是否充分；</w:t>
            </w:r>
            <w:r>
              <w:rPr>
                <w:rFonts w:hint="default" w:ascii="Times New Roman" w:hAnsi="Times New Roman" w:eastAsia="仿宋_GB2312" w:cs="Times New Roman"/>
                <w:color w:val="auto"/>
                <w:kern w:val="0"/>
                <w:sz w:val="18"/>
                <w:szCs w:val="18"/>
              </w:rPr>
              <w:br w:type="textWrapping"/>
            </w:r>
            <w:r>
              <w:rPr>
                <w:rFonts w:hint="default" w:ascii="Times New Roman" w:hAnsi="Times New Roman" w:eastAsia="仿宋_GB2312" w:cs="Times New Roman"/>
                <w:color w:val="auto"/>
                <w:kern w:val="0"/>
                <w:sz w:val="18"/>
                <w:szCs w:val="18"/>
              </w:rPr>
              <w:t>②资金分配额度是否合理，与项目单位或地方实际是否相适应。</w:t>
            </w:r>
          </w:p>
        </w:tc>
        <w:tc>
          <w:tcPr>
            <w:tcW w:w="1300" w:type="dxa"/>
            <w:shd w:val="clear" w:color="auto" w:fill="FFFFFF"/>
            <w:vAlign w:val="center"/>
          </w:tcPr>
          <w:p>
            <w:pPr>
              <w:widowControl/>
              <w:spacing w:line="0" w:lineRule="atLeast"/>
              <w:jc w:val="center"/>
              <w:rPr>
                <w:rFonts w:hint="default" w:ascii="Times New Roman" w:hAnsi="Times New Roman" w:eastAsia="仿宋_GB2312" w:cs="Times New Roman"/>
                <w:b/>
                <w:bCs/>
                <w:color w:val="auto"/>
                <w:kern w:val="0"/>
                <w:sz w:val="18"/>
                <w:szCs w:val="18"/>
              </w:rPr>
            </w:pPr>
            <w:r>
              <w:rPr>
                <w:rFonts w:hint="default" w:ascii="Times New Roman" w:hAnsi="Times New Roman" w:eastAsia="仿宋_GB2312" w:cs="Times New Roman"/>
                <w:b/>
                <w:bCs/>
                <w:color w:val="auto"/>
                <w:kern w:val="0"/>
                <w:sz w:val="18"/>
                <w:szCs w:val="18"/>
              </w:rPr>
              <w:t>4</w:t>
            </w:r>
          </w:p>
        </w:tc>
        <w:tc>
          <w:tcPr>
            <w:tcW w:w="1366" w:type="dxa"/>
            <w:shd w:val="clear" w:color="auto" w:fill="FFFFFF"/>
            <w:vAlign w:val="center"/>
          </w:tcPr>
          <w:p>
            <w:pPr>
              <w:widowControl/>
              <w:spacing w:line="0" w:lineRule="atLeast"/>
              <w:jc w:val="center"/>
              <w:rPr>
                <w:rFonts w:hint="default" w:ascii="Times New Roman" w:hAnsi="Times New Roman" w:eastAsia="仿宋_GB2312" w:cs="Times New Roman"/>
                <w:b/>
                <w:bCs/>
                <w:color w:val="auto"/>
                <w:kern w:val="0"/>
                <w:sz w:val="18"/>
                <w:szCs w:val="18"/>
              </w:rPr>
            </w:pPr>
            <w:r>
              <w:rPr>
                <w:rFonts w:hint="default" w:ascii="Times New Roman" w:hAnsi="Times New Roman" w:eastAsia="仿宋_GB2312" w:cs="Times New Roman"/>
                <w:b/>
                <w:bCs/>
                <w:color w:val="auto"/>
                <w:kern w:val="0"/>
                <w:sz w:val="18"/>
                <w:szCs w:val="18"/>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415" w:hRule="atLeast"/>
          <w:jc w:val="center"/>
        </w:trPr>
        <w:tc>
          <w:tcPr>
            <w:tcW w:w="1004" w:type="dxa"/>
            <w:vMerge w:val="restart"/>
            <w:shd w:val="clear" w:color="auto" w:fill="FFFFFF"/>
            <w:vAlign w:val="center"/>
          </w:tcPr>
          <w:p>
            <w:pPr>
              <w:spacing w:line="0" w:lineRule="atLeast"/>
              <w:jc w:val="center"/>
              <w:rPr>
                <w:rFonts w:hint="default" w:ascii="Times New Roman" w:hAnsi="Times New Roman" w:eastAsia="仿宋_GB2312" w:cs="Times New Roman"/>
                <w:color w:val="auto"/>
                <w:kern w:val="0"/>
                <w:sz w:val="18"/>
                <w:szCs w:val="18"/>
              </w:rPr>
            </w:pPr>
          </w:p>
          <w:p>
            <w:pPr>
              <w:spacing w:line="0" w:lineRule="atLeast"/>
              <w:jc w:val="center"/>
              <w:rPr>
                <w:rFonts w:hint="default" w:ascii="Times New Roman" w:hAnsi="Times New Roman" w:eastAsia="仿宋_GB2312" w:cs="Times New Roman"/>
                <w:color w:val="auto"/>
                <w:kern w:val="0"/>
                <w:sz w:val="18"/>
                <w:szCs w:val="18"/>
              </w:rPr>
            </w:pPr>
          </w:p>
          <w:p>
            <w:pPr>
              <w:spacing w:line="0" w:lineRule="atLeast"/>
              <w:jc w:val="center"/>
              <w:rPr>
                <w:rFonts w:hint="default" w:ascii="Times New Roman" w:hAnsi="Times New Roman" w:eastAsia="仿宋_GB2312" w:cs="Times New Roman"/>
                <w:color w:val="auto"/>
                <w:kern w:val="0"/>
                <w:sz w:val="18"/>
                <w:szCs w:val="18"/>
              </w:rPr>
            </w:pPr>
          </w:p>
          <w:p>
            <w:pPr>
              <w:spacing w:line="0" w:lineRule="atLeast"/>
              <w:jc w:val="center"/>
              <w:rPr>
                <w:rFonts w:hint="default" w:ascii="Times New Roman" w:hAnsi="Times New Roman" w:eastAsia="仿宋_GB2312" w:cs="Times New Roman"/>
                <w:color w:val="auto"/>
                <w:kern w:val="0"/>
                <w:sz w:val="18"/>
                <w:szCs w:val="18"/>
              </w:rPr>
            </w:pPr>
          </w:p>
          <w:p>
            <w:pPr>
              <w:spacing w:line="0" w:lineRule="atLeast"/>
              <w:jc w:val="center"/>
              <w:rPr>
                <w:rFonts w:hint="default" w:ascii="Times New Roman" w:hAnsi="Times New Roman" w:eastAsia="仿宋_GB2312" w:cs="Times New Roman"/>
                <w:color w:val="auto"/>
                <w:kern w:val="0"/>
                <w:sz w:val="18"/>
                <w:szCs w:val="18"/>
              </w:rPr>
            </w:pPr>
          </w:p>
          <w:p>
            <w:pPr>
              <w:spacing w:line="0" w:lineRule="atLeast"/>
              <w:jc w:val="center"/>
              <w:rPr>
                <w:rFonts w:hint="default" w:ascii="Times New Roman" w:hAnsi="Times New Roman" w:eastAsia="仿宋_GB2312" w:cs="Times New Roman"/>
                <w:color w:val="auto"/>
                <w:kern w:val="0"/>
                <w:sz w:val="18"/>
                <w:szCs w:val="18"/>
              </w:rPr>
            </w:pPr>
          </w:p>
          <w:p>
            <w:pPr>
              <w:spacing w:line="0" w:lineRule="atLeast"/>
              <w:jc w:val="center"/>
              <w:rPr>
                <w:rFonts w:hint="default" w:ascii="Times New Roman" w:hAnsi="Times New Roman" w:eastAsia="仿宋_GB2312" w:cs="Times New Roman"/>
                <w:color w:val="auto"/>
                <w:kern w:val="0"/>
                <w:sz w:val="18"/>
                <w:szCs w:val="18"/>
              </w:rPr>
            </w:pPr>
          </w:p>
          <w:p>
            <w:pPr>
              <w:spacing w:line="0" w:lineRule="atLeast"/>
              <w:jc w:val="center"/>
              <w:rPr>
                <w:rFonts w:hint="default" w:ascii="Times New Roman" w:hAnsi="Times New Roman" w:eastAsia="仿宋_GB2312" w:cs="Times New Roman"/>
                <w:color w:val="auto"/>
                <w:kern w:val="0"/>
                <w:sz w:val="18"/>
                <w:szCs w:val="18"/>
              </w:rPr>
            </w:pPr>
          </w:p>
          <w:p>
            <w:pPr>
              <w:spacing w:line="0" w:lineRule="atLeast"/>
              <w:jc w:val="center"/>
              <w:rPr>
                <w:rFonts w:hint="default" w:ascii="Times New Roman" w:hAnsi="Times New Roman" w:eastAsia="仿宋_GB2312" w:cs="Times New Roman"/>
                <w:color w:val="auto"/>
                <w:kern w:val="0"/>
                <w:sz w:val="18"/>
                <w:szCs w:val="18"/>
              </w:rPr>
            </w:pPr>
          </w:p>
          <w:p>
            <w:pPr>
              <w:spacing w:line="0" w:lineRule="atLeast"/>
              <w:jc w:val="center"/>
              <w:rPr>
                <w:rFonts w:hint="default" w:ascii="Times New Roman" w:hAnsi="Times New Roman" w:eastAsia="仿宋_GB2312" w:cs="Times New Roman"/>
                <w:color w:val="auto"/>
                <w:kern w:val="0"/>
                <w:sz w:val="18"/>
                <w:szCs w:val="18"/>
              </w:rPr>
            </w:pPr>
          </w:p>
          <w:p>
            <w:pPr>
              <w:spacing w:line="0" w:lineRule="atLeast"/>
              <w:jc w:val="center"/>
              <w:rPr>
                <w:rFonts w:hint="default" w:ascii="Times New Roman" w:hAnsi="Times New Roman" w:eastAsia="仿宋_GB2312" w:cs="Times New Roman"/>
                <w:color w:val="auto"/>
                <w:kern w:val="0"/>
                <w:sz w:val="18"/>
                <w:szCs w:val="18"/>
              </w:rPr>
            </w:pPr>
          </w:p>
          <w:p>
            <w:pPr>
              <w:spacing w:line="0" w:lineRule="atLeast"/>
              <w:jc w:val="center"/>
              <w:rPr>
                <w:rFonts w:hint="default" w:ascii="Times New Roman" w:hAnsi="Times New Roman" w:eastAsia="仿宋_GB2312" w:cs="Times New Roman"/>
                <w:color w:val="auto"/>
                <w:kern w:val="0"/>
                <w:sz w:val="18"/>
                <w:szCs w:val="18"/>
              </w:rPr>
            </w:pPr>
          </w:p>
          <w:p>
            <w:pPr>
              <w:spacing w:line="0" w:lineRule="atLeast"/>
              <w:jc w:val="center"/>
              <w:rPr>
                <w:rFonts w:hint="default" w:ascii="Times New Roman" w:hAnsi="Times New Roman" w:eastAsia="仿宋_GB2312" w:cs="Times New Roman"/>
                <w:color w:val="auto"/>
                <w:kern w:val="0"/>
                <w:sz w:val="18"/>
                <w:szCs w:val="18"/>
              </w:rPr>
            </w:pPr>
          </w:p>
          <w:p>
            <w:pPr>
              <w:spacing w:line="0" w:lineRule="atLeast"/>
              <w:jc w:val="center"/>
              <w:rPr>
                <w:rFonts w:hint="default" w:ascii="Times New Roman" w:hAnsi="Times New Roman" w:eastAsia="仿宋_GB2312" w:cs="Times New Roman"/>
                <w:color w:val="auto"/>
                <w:kern w:val="0"/>
                <w:sz w:val="18"/>
                <w:szCs w:val="18"/>
              </w:rPr>
            </w:pPr>
          </w:p>
          <w:p>
            <w:pPr>
              <w:spacing w:line="0" w:lineRule="atLeast"/>
              <w:jc w:val="center"/>
              <w:rPr>
                <w:rFonts w:hint="default" w:ascii="Times New Roman" w:hAnsi="Times New Roman" w:eastAsia="仿宋_GB2312" w:cs="Times New Roman"/>
                <w:color w:val="auto"/>
                <w:kern w:val="0"/>
                <w:sz w:val="18"/>
                <w:szCs w:val="18"/>
              </w:rPr>
            </w:pPr>
          </w:p>
          <w:p>
            <w:pPr>
              <w:spacing w:line="0" w:lineRule="atLeast"/>
              <w:jc w:val="center"/>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过程</w:t>
            </w:r>
          </w:p>
          <w:p>
            <w:pPr>
              <w:widowControl/>
              <w:spacing w:line="0" w:lineRule="atLeast"/>
              <w:jc w:val="center"/>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　　</w:t>
            </w:r>
          </w:p>
        </w:tc>
        <w:tc>
          <w:tcPr>
            <w:tcW w:w="1000" w:type="dxa"/>
            <w:vMerge w:val="restart"/>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资金管理</w:t>
            </w: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资金到位率</w:t>
            </w:r>
          </w:p>
        </w:tc>
        <w:tc>
          <w:tcPr>
            <w:tcW w:w="1726" w:type="dxa"/>
            <w:shd w:val="clear" w:color="000000" w:fill="FFFFFF"/>
            <w:vAlign w:val="center"/>
          </w:tcPr>
          <w:p>
            <w:pPr>
              <w:widowControl/>
              <w:spacing w:line="0" w:lineRule="atLeast"/>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实际到位资金与预算资金的比率，用以反映和考核资金落实情况对项目实施的总体保障程度。</w:t>
            </w:r>
          </w:p>
        </w:tc>
        <w:tc>
          <w:tcPr>
            <w:tcW w:w="5216" w:type="dxa"/>
            <w:shd w:val="clear" w:color="000000" w:fill="FFFFFF"/>
            <w:vAlign w:val="center"/>
          </w:tcPr>
          <w:p>
            <w:pPr>
              <w:widowControl/>
              <w:spacing w:line="0" w:lineRule="atLeast"/>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资金到位率=（实际到位资金/预算资金）×100%。</w:t>
            </w:r>
          </w:p>
          <w:p>
            <w:pPr>
              <w:widowControl/>
              <w:spacing w:line="0" w:lineRule="atLeast"/>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实际到位资金：一定时期（本年度或项目期）内落实到具体项目的资金。</w:t>
            </w:r>
          </w:p>
          <w:p>
            <w:pPr>
              <w:widowControl/>
              <w:spacing w:line="0" w:lineRule="atLeast"/>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预算资金：一定时期（本年度或项目期）内预算安排到具体项目的资金。</w:t>
            </w:r>
          </w:p>
        </w:tc>
        <w:tc>
          <w:tcPr>
            <w:tcW w:w="1300" w:type="dxa"/>
            <w:shd w:val="clear" w:color="000000" w:fill="FFFFFF"/>
            <w:vAlign w:val="center"/>
          </w:tcPr>
          <w:p>
            <w:pPr>
              <w:widowControl/>
              <w:spacing w:line="0" w:lineRule="atLeast"/>
              <w:jc w:val="center"/>
              <w:rPr>
                <w:rFonts w:hint="default" w:ascii="Times New Roman" w:hAnsi="Times New Roman" w:eastAsia="仿宋_GB2312" w:cs="Times New Roman"/>
                <w:b/>
                <w:bCs/>
                <w:color w:val="auto"/>
                <w:kern w:val="0"/>
                <w:sz w:val="18"/>
                <w:szCs w:val="18"/>
              </w:rPr>
            </w:pPr>
            <w:r>
              <w:rPr>
                <w:rFonts w:hint="default" w:ascii="Times New Roman" w:hAnsi="Times New Roman" w:eastAsia="仿宋_GB2312" w:cs="Times New Roman"/>
                <w:b/>
                <w:bCs/>
                <w:color w:val="auto"/>
                <w:kern w:val="0"/>
                <w:sz w:val="18"/>
                <w:szCs w:val="18"/>
              </w:rPr>
              <w:t>4</w:t>
            </w:r>
          </w:p>
        </w:tc>
        <w:tc>
          <w:tcPr>
            <w:tcW w:w="1366" w:type="dxa"/>
            <w:shd w:val="clear" w:color="000000" w:fill="FFFFFF"/>
            <w:vAlign w:val="center"/>
          </w:tcPr>
          <w:p>
            <w:pPr>
              <w:widowControl/>
              <w:spacing w:line="0" w:lineRule="atLeast"/>
              <w:jc w:val="center"/>
              <w:rPr>
                <w:rFonts w:hint="default" w:ascii="Times New Roman" w:hAnsi="Times New Roman" w:eastAsia="仿宋_GB2312" w:cs="Times New Roman"/>
                <w:b/>
                <w:bCs/>
                <w:color w:val="auto"/>
                <w:kern w:val="0"/>
                <w:sz w:val="18"/>
                <w:szCs w:val="18"/>
              </w:rPr>
            </w:pPr>
            <w:r>
              <w:rPr>
                <w:rFonts w:hint="default" w:ascii="Times New Roman" w:hAnsi="Times New Roman" w:eastAsia="仿宋_GB2312" w:cs="Times New Roman"/>
                <w:b/>
                <w:bCs/>
                <w:color w:val="auto"/>
                <w:kern w:val="0"/>
                <w:sz w:val="18"/>
                <w:szCs w:val="18"/>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320" w:hRule="atLeast"/>
          <w:jc w:val="center"/>
        </w:trPr>
        <w:tc>
          <w:tcPr>
            <w:tcW w:w="1004" w:type="dxa"/>
            <w:vMerge w:val="continue"/>
            <w:shd w:val="clear" w:color="auto" w:fill="FFFFFF"/>
            <w:vAlign w:val="center"/>
          </w:tcPr>
          <w:p>
            <w:pPr>
              <w:spacing w:line="0" w:lineRule="atLeast"/>
              <w:jc w:val="center"/>
              <w:rPr>
                <w:rFonts w:hint="default" w:ascii="Times New Roman" w:hAnsi="Times New Roman" w:eastAsia="仿宋_GB2312" w:cs="Times New Roman"/>
                <w:color w:val="auto"/>
                <w:kern w:val="0"/>
                <w:sz w:val="18"/>
                <w:szCs w:val="18"/>
              </w:rPr>
            </w:pPr>
          </w:p>
        </w:tc>
        <w:tc>
          <w:tcPr>
            <w:tcW w:w="1000" w:type="dxa"/>
            <w:vMerge w:val="continue"/>
            <w:shd w:val="clear" w:color="auto" w:fill="FFFFFF"/>
            <w:vAlign w:val="center"/>
          </w:tcPr>
          <w:p>
            <w:pPr>
              <w:spacing w:line="0" w:lineRule="atLeast"/>
              <w:jc w:val="center"/>
              <w:rPr>
                <w:rFonts w:hint="default" w:ascii="Times New Roman" w:hAnsi="Times New Roman" w:eastAsia="仿宋_GB2312" w:cs="Times New Roman"/>
                <w:color w:val="auto"/>
                <w:kern w:val="0"/>
                <w:sz w:val="18"/>
                <w:szCs w:val="18"/>
              </w:rPr>
            </w:pP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预算执行率</w:t>
            </w:r>
          </w:p>
        </w:tc>
        <w:tc>
          <w:tcPr>
            <w:tcW w:w="1726" w:type="dxa"/>
            <w:shd w:val="clear" w:color="auto" w:fill="FFFFFF"/>
            <w:vAlign w:val="center"/>
          </w:tcPr>
          <w:p>
            <w:pPr>
              <w:widowControl/>
              <w:spacing w:line="0" w:lineRule="atLeast"/>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项目预算资金是否按照计划执行，用以反映或考核项目预算执行情况。</w:t>
            </w:r>
          </w:p>
        </w:tc>
        <w:tc>
          <w:tcPr>
            <w:tcW w:w="5216" w:type="dxa"/>
            <w:shd w:val="clear" w:color="auto" w:fill="FFFFFF"/>
            <w:vAlign w:val="center"/>
          </w:tcPr>
          <w:p>
            <w:pPr>
              <w:widowControl/>
              <w:spacing w:line="0" w:lineRule="atLeast"/>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预算执行率=（实际支出资金/实际到位资金）×100%。</w:t>
            </w:r>
            <w:r>
              <w:rPr>
                <w:rFonts w:hint="default" w:ascii="Times New Roman" w:hAnsi="Times New Roman" w:eastAsia="仿宋_GB2312" w:cs="Times New Roman"/>
                <w:color w:val="auto"/>
                <w:kern w:val="0"/>
                <w:sz w:val="18"/>
                <w:szCs w:val="18"/>
              </w:rPr>
              <w:br w:type="textWrapping"/>
            </w:r>
            <w:r>
              <w:rPr>
                <w:rFonts w:hint="default" w:ascii="Times New Roman" w:hAnsi="Times New Roman" w:eastAsia="仿宋_GB2312" w:cs="Times New Roman"/>
                <w:color w:val="auto"/>
                <w:kern w:val="0"/>
                <w:sz w:val="18"/>
                <w:szCs w:val="18"/>
              </w:rPr>
              <w:t>实际支出资金：一定时期（本年度或项目期）内项目实际拨付的资金。</w:t>
            </w:r>
          </w:p>
        </w:tc>
        <w:tc>
          <w:tcPr>
            <w:tcW w:w="1300" w:type="dxa"/>
            <w:shd w:val="clear" w:color="auto" w:fill="FFFFFF"/>
            <w:vAlign w:val="center"/>
          </w:tcPr>
          <w:p>
            <w:pPr>
              <w:widowControl/>
              <w:spacing w:line="0" w:lineRule="atLeast"/>
              <w:jc w:val="center"/>
              <w:rPr>
                <w:rFonts w:hint="default" w:ascii="Times New Roman" w:hAnsi="Times New Roman" w:eastAsia="仿宋_GB2312" w:cs="Times New Roman"/>
                <w:b/>
                <w:bCs/>
                <w:color w:val="auto"/>
                <w:kern w:val="0"/>
                <w:sz w:val="18"/>
                <w:szCs w:val="18"/>
              </w:rPr>
            </w:pPr>
            <w:r>
              <w:rPr>
                <w:rFonts w:hint="default" w:ascii="Times New Roman" w:hAnsi="Times New Roman" w:eastAsia="仿宋_GB2312" w:cs="Times New Roman"/>
                <w:b/>
                <w:bCs/>
                <w:color w:val="auto"/>
                <w:kern w:val="0"/>
                <w:sz w:val="18"/>
                <w:szCs w:val="18"/>
              </w:rPr>
              <w:t>4</w:t>
            </w:r>
          </w:p>
        </w:tc>
        <w:tc>
          <w:tcPr>
            <w:tcW w:w="1366" w:type="dxa"/>
            <w:shd w:val="clear" w:color="auto" w:fill="FFFFFF"/>
            <w:vAlign w:val="center"/>
          </w:tcPr>
          <w:p>
            <w:pPr>
              <w:widowControl/>
              <w:spacing w:line="0" w:lineRule="atLeast"/>
              <w:jc w:val="center"/>
              <w:rPr>
                <w:rFonts w:hint="default" w:ascii="Times New Roman" w:hAnsi="Times New Roman" w:eastAsia="仿宋_GB2312" w:cs="Times New Roman"/>
                <w:b/>
                <w:bCs/>
                <w:color w:val="auto"/>
                <w:kern w:val="0"/>
                <w:sz w:val="18"/>
                <w:szCs w:val="18"/>
              </w:rPr>
            </w:pPr>
            <w:r>
              <w:rPr>
                <w:rFonts w:hint="default" w:ascii="Times New Roman" w:hAnsi="Times New Roman" w:eastAsia="仿宋_GB2312" w:cs="Times New Roman"/>
                <w:b/>
                <w:bCs/>
                <w:color w:val="auto"/>
                <w:kern w:val="0"/>
                <w:sz w:val="18"/>
                <w:szCs w:val="18"/>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2076" w:hRule="atLeast"/>
          <w:jc w:val="center"/>
        </w:trPr>
        <w:tc>
          <w:tcPr>
            <w:tcW w:w="1004" w:type="dxa"/>
            <w:vMerge w:val="continue"/>
            <w:shd w:val="clear" w:color="auto" w:fill="FFFFFF"/>
            <w:vAlign w:val="center"/>
          </w:tcPr>
          <w:p>
            <w:pPr>
              <w:spacing w:line="0" w:lineRule="atLeast"/>
              <w:jc w:val="center"/>
              <w:rPr>
                <w:rFonts w:hint="default" w:ascii="Times New Roman" w:hAnsi="Times New Roman" w:eastAsia="仿宋_GB2312" w:cs="Times New Roman"/>
                <w:color w:val="auto"/>
                <w:kern w:val="0"/>
                <w:sz w:val="18"/>
                <w:szCs w:val="18"/>
              </w:rPr>
            </w:pPr>
          </w:p>
        </w:tc>
        <w:tc>
          <w:tcPr>
            <w:tcW w:w="1000" w:type="dxa"/>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资金管理</w:t>
            </w: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资金使用</w:t>
            </w:r>
          </w:p>
          <w:p>
            <w:pPr>
              <w:widowControl/>
              <w:spacing w:line="0" w:lineRule="atLeast"/>
              <w:jc w:val="center"/>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合规性</w:t>
            </w:r>
          </w:p>
        </w:tc>
        <w:tc>
          <w:tcPr>
            <w:tcW w:w="1726" w:type="dxa"/>
            <w:shd w:val="clear" w:color="000000" w:fill="FFFFFF"/>
            <w:vAlign w:val="center"/>
          </w:tcPr>
          <w:p>
            <w:pPr>
              <w:widowControl/>
              <w:spacing w:line="0" w:lineRule="atLeast"/>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项目资金使用是否符合相关的财务管理制度规定，用以反映和考核项目资金的规范运行情况。</w:t>
            </w:r>
          </w:p>
        </w:tc>
        <w:tc>
          <w:tcPr>
            <w:tcW w:w="5216" w:type="dxa"/>
            <w:shd w:val="clear" w:color="000000" w:fill="FFFFFF"/>
            <w:vAlign w:val="center"/>
          </w:tcPr>
          <w:p>
            <w:pPr>
              <w:widowControl/>
              <w:spacing w:line="0" w:lineRule="atLeast"/>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评价要点：</w:t>
            </w:r>
            <w:r>
              <w:rPr>
                <w:rFonts w:hint="default" w:ascii="Times New Roman" w:hAnsi="Times New Roman" w:eastAsia="仿宋_GB2312" w:cs="Times New Roman"/>
                <w:color w:val="auto"/>
                <w:kern w:val="0"/>
                <w:sz w:val="18"/>
                <w:szCs w:val="18"/>
              </w:rPr>
              <w:br w:type="textWrapping"/>
            </w:r>
            <w:r>
              <w:rPr>
                <w:rFonts w:hint="default" w:ascii="Times New Roman" w:hAnsi="Times New Roman" w:eastAsia="仿宋_GB2312" w:cs="Times New Roman"/>
                <w:color w:val="auto"/>
                <w:kern w:val="0"/>
                <w:sz w:val="18"/>
                <w:szCs w:val="18"/>
              </w:rPr>
              <w:t>①是否符合国家财经法规和财务管理制度以及有关专项资金管理办法的规定；</w:t>
            </w:r>
            <w:r>
              <w:rPr>
                <w:rFonts w:hint="default" w:ascii="Times New Roman" w:hAnsi="Times New Roman" w:eastAsia="仿宋_GB2312" w:cs="Times New Roman"/>
                <w:color w:val="auto"/>
                <w:kern w:val="0"/>
                <w:sz w:val="18"/>
                <w:szCs w:val="18"/>
              </w:rPr>
              <w:br w:type="textWrapping"/>
            </w:r>
            <w:r>
              <w:rPr>
                <w:rFonts w:hint="default" w:ascii="Times New Roman" w:hAnsi="Times New Roman" w:eastAsia="仿宋_GB2312" w:cs="Times New Roman"/>
                <w:color w:val="auto"/>
                <w:kern w:val="0"/>
                <w:sz w:val="18"/>
                <w:szCs w:val="18"/>
              </w:rPr>
              <w:t>②资金的拨付是否有完整的审批程序和手续；</w:t>
            </w:r>
            <w:r>
              <w:rPr>
                <w:rFonts w:hint="default" w:ascii="Times New Roman" w:hAnsi="Times New Roman" w:eastAsia="仿宋_GB2312" w:cs="Times New Roman"/>
                <w:color w:val="auto"/>
                <w:kern w:val="0"/>
                <w:sz w:val="18"/>
                <w:szCs w:val="18"/>
              </w:rPr>
              <w:br w:type="textWrapping"/>
            </w:r>
            <w:r>
              <w:rPr>
                <w:rFonts w:hint="default" w:ascii="Times New Roman" w:hAnsi="Times New Roman" w:eastAsia="仿宋_GB2312" w:cs="Times New Roman"/>
                <w:color w:val="auto"/>
                <w:kern w:val="0"/>
                <w:sz w:val="18"/>
                <w:szCs w:val="18"/>
              </w:rPr>
              <w:t>③是否符合项目预算批复或合同规定的用途；</w:t>
            </w:r>
            <w:r>
              <w:rPr>
                <w:rFonts w:hint="default" w:ascii="Times New Roman" w:hAnsi="Times New Roman" w:eastAsia="仿宋_GB2312" w:cs="Times New Roman"/>
                <w:color w:val="auto"/>
                <w:kern w:val="0"/>
                <w:sz w:val="18"/>
                <w:szCs w:val="18"/>
              </w:rPr>
              <w:br w:type="textWrapping"/>
            </w:r>
            <w:r>
              <w:rPr>
                <w:rFonts w:hint="default" w:ascii="Times New Roman" w:hAnsi="Times New Roman" w:eastAsia="仿宋_GB2312" w:cs="Times New Roman"/>
                <w:color w:val="auto"/>
                <w:kern w:val="0"/>
                <w:sz w:val="18"/>
                <w:szCs w:val="18"/>
              </w:rPr>
              <w:t>④是否存在截留、挤占、挪用、虚列支出等情况。</w:t>
            </w:r>
          </w:p>
        </w:tc>
        <w:tc>
          <w:tcPr>
            <w:tcW w:w="1300" w:type="dxa"/>
            <w:shd w:val="clear" w:color="000000" w:fill="FFFFFF"/>
            <w:vAlign w:val="center"/>
          </w:tcPr>
          <w:p>
            <w:pPr>
              <w:widowControl/>
              <w:spacing w:line="0" w:lineRule="atLeast"/>
              <w:jc w:val="center"/>
              <w:rPr>
                <w:rFonts w:hint="default" w:ascii="Times New Roman" w:hAnsi="Times New Roman" w:eastAsia="仿宋_GB2312" w:cs="Times New Roman"/>
                <w:b/>
                <w:bCs/>
                <w:color w:val="auto"/>
                <w:kern w:val="0"/>
                <w:sz w:val="18"/>
                <w:szCs w:val="18"/>
              </w:rPr>
            </w:pPr>
            <w:r>
              <w:rPr>
                <w:rFonts w:hint="default" w:ascii="Times New Roman" w:hAnsi="Times New Roman" w:eastAsia="仿宋_GB2312" w:cs="Times New Roman"/>
                <w:b/>
                <w:bCs/>
                <w:color w:val="auto"/>
                <w:kern w:val="0"/>
                <w:sz w:val="18"/>
                <w:szCs w:val="18"/>
              </w:rPr>
              <w:t>4</w:t>
            </w:r>
          </w:p>
        </w:tc>
        <w:tc>
          <w:tcPr>
            <w:tcW w:w="1366" w:type="dxa"/>
            <w:shd w:val="clear" w:color="000000" w:fill="FFFFFF"/>
            <w:vAlign w:val="center"/>
          </w:tcPr>
          <w:p>
            <w:pPr>
              <w:widowControl/>
              <w:spacing w:line="0" w:lineRule="atLeast"/>
              <w:jc w:val="center"/>
              <w:rPr>
                <w:rFonts w:hint="default" w:ascii="Times New Roman" w:hAnsi="Times New Roman" w:eastAsia="仿宋_GB2312" w:cs="Times New Roman"/>
                <w:b/>
                <w:bCs/>
                <w:color w:val="auto"/>
                <w:kern w:val="0"/>
                <w:sz w:val="18"/>
                <w:szCs w:val="18"/>
              </w:rPr>
            </w:pPr>
            <w:r>
              <w:rPr>
                <w:rFonts w:hint="default" w:ascii="Times New Roman" w:hAnsi="Times New Roman" w:eastAsia="仿宋_GB2312" w:cs="Times New Roman"/>
                <w:b/>
                <w:bCs/>
                <w:color w:val="auto"/>
                <w:kern w:val="0"/>
                <w:sz w:val="18"/>
                <w:szCs w:val="18"/>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97" w:hRule="atLeast"/>
          <w:jc w:val="center"/>
        </w:trPr>
        <w:tc>
          <w:tcPr>
            <w:tcW w:w="1004" w:type="dxa"/>
            <w:vMerge w:val="continue"/>
            <w:shd w:val="clear" w:color="auto" w:fill="FFFFFF"/>
            <w:vAlign w:val="center"/>
          </w:tcPr>
          <w:p>
            <w:pPr>
              <w:spacing w:line="0" w:lineRule="atLeast"/>
              <w:jc w:val="center"/>
              <w:rPr>
                <w:rFonts w:hint="default" w:ascii="Times New Roman" w:hAnsi="Times New Roman" w:eastAsia="仿宋_GB2312" w:cs="Times New Roman"/>
                <w:color w:val="auto"/>
                <w:kern w:val="0"/>
                <w:sz w:val="18"/>
                <w:szCs w:val="18"/>
              </w:rPr>
            </w:pPr>
          </w:p>
        </w:tc>
        <w:tc>
          <w:tcPr>
            <w:tcW w:w="1000" w:type="dxa"/>
            <w:vMerge w:val="restart"/>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组织实施</w:t>
            </w:r>
          </w:p>
          <w:p>
            <w:pPr>
              <w:spacing w:line="0" w:lineRule="atLeast"/>
              <w:jc w:val="center"/>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　</w:t>
            </w: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管理制度</w:t>
            </w:r>
          </w:p>
          <w:p>
            <w:pPr>
              <w:widowControl/>
              <w:spacing w:line="0" w:lineRule="atLeast"/>
              <w:jc w:val="center"/>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健全性</w:t>
            </w:r>
          </w:p>
        </w:tc>
        <w:tc>
          <w:tcPr>
            <w:tcW w:w="1726" w:type="dxa"/>
            <w:shd w:val="clear" w:color="000000" w:fill="FFFFFF"/>
            <w:vAlign w:val="center"/>
          </w:tcPr>
          <w:p>
            <w:pPr>
              <w:widowControl/>
              <w:spacing w:line="0" w:lineRule="atLeast"/>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项目实施单位的财务和业务管理制度是否健全，用以反映和考核财务和业务管理制度对项目顺利实施的保障情况。</w:t>
            </w:r>
          </w:p>
        </w:tc>
        <w:tc>
          <w:tcPr>
            <w:tcW w:w="5216" w:type="dxa"/>
            <w:shd w:val="clear" w:color="000000" w:fill="FFFFFF"/>
            <w:vAlign w:val="center"/>
          </w:tcPr>
          <w:p>
            <w:pPr>
              <w:widowControl/>
              <w:spacing w:line="0" w:lineRule="atLeast"/>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评价要点：</w:t>
            </w:r>
            <w:r>
              <w:rPr>
                <w:rFonts w:hint="default" w:ascii="Times New Roman" w:hAnsi="Times New Roman" w:eastAsia="仿宋_GB2312" w:cs="Times New Roman"/>
                <w:color w:val="auto"/>
                <w:kern w:val="0"/>
                <w:sz w:val="18"/>
                <w:szCs w:val="18"/>
              </w:rPr>
              <w:br w:type="textWrapping"/>
            </w:r>
            <w:r>
              <w:rPr>
                <w:rFonts w:hint="default" w:ascii="Times New Roman" w:hAnsi="Times New Roman" w:eastAsia="仿宋_GB2312" w:cs="Times New Roman"/>
                <w:color w:val="auto"/>
                <w:kern w:val="0"/>
                <w:sz w:val="18"/>
                <w:szCs w:val="18"/>
              </w:rPr>
              <w:t>①是否已制定或具有相应的财务和业务管理制度；</w:t>
            </w:r>
            <w:r>
              <w:rPr>
                <w:rFonts w:hint="default" w:ascii="Times New Roman" w:hAnsi="Times New Roman" w:eastAsia="仿宋_GB2312" w:cs="Times New Roman"/>
                <w:color w:val="auto"/>
                <w:kern w:val="0"/>
                <w:sz w:val="18"/>
                <w:szCs w:val="18"/>
              </w:rPr>
              <w:br w:type="textWrapping"/>
            </w:r>
            <w:r>
              <w:rPr>
                <w:rFonts w:hint="default" w:ascii="Times New Roman" w:hAnsi="Times New Roman" w:eastAsia="仿宋_GB2312" w:cs="Times New Roman"/>
                <w:color w:val="auto"/>
                <w:kern w:val="0"/>
                <w:sz w:val="18"/>
                <w:szCs w:val="18"/>
              </w:rPr>
              <w:t>②财务和业务管理制度是否合法、合规、完整。</w:t>
            </w:r>
          </w:p>
        </w:tc>
        <w:tc>
          <w:tcPr>
            <w:tcW w:w="1300" w:type="dxa"/>
            <w:shd w:val="clear" w:color="000000" w:fill="FFFFFF"/>
            <w:vAlign w:val="center"/>
          </w:tcPr>
          <w:p>
            <w:pPr>
              <w:widowControl/>
              <w:spacing w:line="0" w:lineRule="atLeast"/>
              <w:jc w:val="center"/>
              <w:rPr>
                <w:rFonts w:hint="default" w:ascii="Times New Roman" w:hAnsi="Times New Roman" w:eastAsia="仿宋_GB2312" w:cs="Times New Roman"/>
                <w:b/>
                <w:bCs/>
                <w:color w:val="auto"/>
                <w:kern w:val="0"/>
                <w:sz w:val="18"/>
                <w:szCs w:val="18"/>
              </w:rPr>
            </w:pPr>
            <w:r>
              <w:rPr>
                <w:rFonts w:hint="default" w:ascii="Times New Roman" w:hAnsi="Times New Roman" w:eastAsia="仿宋_GB2312" w:cs="Times New Roman"/>
                <w:b/>
                <w:bCs/>
                <w:color w:val="auto"/>
                <w:kern w:val="0"/>
                <w:sz w:val="18"/>
                <w:szCs w:val="18"/>
              </w:rPr>
              <w:t>4</w:t>
            </w:r>
          </w:p>
        </w:tc>
        <w:tc>
          <w:tcPr>
            <w:tcW w:w="1366" w:type="dxa"/>
            <w:shd w:val="clear" w:color="000000" w:fill="FFFFFF"/>
            <w:vAlign w:val="center"/>
          </w:tcPr>
          <w:p>
            <w:pPr>
              <w:widowControl/>
              <w:spacing w:line="0" w:lineRule="atLeast"/>
              <w:jc w:val="center"/>
              <w:rPr>
                <w:rFonts w:hint="default" w:ascii="Times New Roman" w:hAnsi="Times New Roman" w:eastAsia="仿宋_GB2312" w:cs="Times New Roman"/>
                <w:b/>
                <w:bCs/>
                <w:color w:val="auto"/>
                <w:kern w:val="0"/>
                <w:sz w:val="18"/>
                <w:szCs w:val="18"/>
              </w:rPr>
            </w:pPr>
            <w:r>
              <w:rPr>
                <w:rFonts w:hint="default" w:ascii="Times New Roman" w:hAnsi="Times New Roman" w:eastAsia="仿宋_GB2312" w:cs="Times New Roman"/>
                <w:b/>
                <w:bCs/>
                <w:color w:val="auto"/>
                <w:kern w:val="0"/>
                <w:sz w:val="18"/>
                <w:szCs w:val="18"/>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69" w:hRule="atLeast"/>
          <w:jc w:val="center"/>
        </w:trPr>
        <w:tc>
          <w:tcPr>
            <w:tcW w:w="1004" w:type="dxa"/>
            <w:vMerge w:val="continue"/>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rPr>
            </w:pPr>
          </w:p>
        </w:tc>
        <w:tc>
          <w:tcPr>
            <w:tcW w:w="1000" w:type="dxa"/>
            <w:vMerge w:val="continue"/>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rPr>
            </w:pP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制度执行</w:t>
            </w:r>
          </w:p>
          <w:p>
            <w:pPr>
              <w:widowControl/>
              <w:spacing w:line="0" w:lineRule="atLeast"/>
              <w:jc w:val="center"/>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有效性</w:t>
            </w:r>
          </w:p>
        </w:tc>
        <w:tc>
          <w:tcPr>
            <w:tcW w:w="1726" w:type="dxa"/>
            <w:shd w:val="clear" w:color="000000" w:fill="FFFFFF"/>
            <w:vAlign w:val="center"/>
          </w:tcPr>
          <w:p>
            <w:pPr>
              <w:widowControl/>
              <w:spacing w:line="0" w:lineRule="atLeast"/>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项目实施是否符合相关管理规定，用以反映和考核相关管理制度的有效执行情况。</w:t>
            </w:r>
          </w:p>
        </w:tc>
        <w:tc>
          <w:tcPr>
            <w:tcW w:w="5216" w:type="dxa"/>
            <w:shd w:val="clear" w:color="000000" w:fill="FFFFFF"/>
            <w:vAlign w:val="center"/>
          </w:tcPr>
          <w:p>
            <w:pPr>
              <w:widowControl/>
              <w:spacing w:line="0" w:lineRule="atLeast"/>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评价要点：</w:t>
            </w:r>
            <w:r>
              <w:rPr>
                <w:rFonts w:hint="default" w:ascii="Times New Roman" w:hAnsi="Times New Roman" w:eastAsia="仿宋_GB2312" w:cs="Times New Roman"/>
                <w:color w:val="auto"/>
                <w:kern w:val="0"/>
                <w:sz w:val="18"/>
                <w:szCs w:val="18"/>
              </w:rPr>
              <w:br w:type="textWrapping"/>
            </w:r>
            <w:r>
              <w:rPr>
                <w:rFonts w:hint="default" w:ascii="Times New Roman" w:hAnsi="Times New Roman" w:eastAsia="仿宋_GB2312" w:cs="Times New Roman"/>
                <w:color w:val="auto"/>
                <w:kern w:val="0"/>
                <w:sz w:val="18"/>
                <w:szCs w:val="18"/>
              </w:rPr>
              <w:t>①是否遵守相关法律法规和相关管理规定；</w:t>
            </w:r>
            <w:r>
              <w:rPr>
                <w:rFonts w:hint="default" w:ascii="Times New Roman" w:hAnsi="Times New Roman" w:eastAsia="仿宋_GB2312" w:cs="Times New Roman"/>
                <w:color w:val="auto"/>
                <w:kern w:val="0"/>
                <w:sz w:val="18"/>
                <w:szCs w:val="18"/>
              </w:rPr>
              <w:br w:type="textWrapping"/>
            </w:r>
            <w:r>
              <w:rPr>
                <w:rFonts w:hint="default" w:ascii="Times New Roman" w:hAnsi="Times New Roman" w:eastAsia="仿宋_GB2312" w:cs="Times New Roman"/>
                <w:color w:val="auto"/>
                <w:kern w:val="0"/>
                <w:sz w:val="18"/>
                <w:szCs w:val="18"/>
              </w:rPr>
              <w:t>②项目调整及支出调整手续是否完备；</w:t>
            </w:r>
            <w:r>
              <w:rPr>
                <w:rFonts w:hint="default" w:ascii="Times New Roman" w:hAnsi="Times New Roman" w:eastAsia="仿宋_GB2312" w:cs="Times New Roman"/>
                <w:color w:val="auto"/>
                <w:kern w:val="0"/>
                <w:sz w:val="18"/>
                <w:szCs w:val="18"/>
              </w:rPr>
              <w:br w:type="textWrapping"/>
            </w:r>
            <w:r>
              <w:rPr>
                <w:rFonts w:hint="default" w:ascii="Times New Roman" w:hAnsi="Times New Roman" w:eastAsia="仿宋_GB2312" w:cs="Times New Roman"/>
                <w:color w:val="auto"/>
                <w:kern w:val="0"/>
                <w:sz w:val="18"/>
                <w:szCs w:val="18"/>
              </w:rPr>
              <w:t>③项目合同书、验收报告、技术鉴定等资料是否齐全并及时归档；</w:t>
            </w:r>
            <w:r>
              <w:rPr>
                <w:rFonts w:hint="default" w:ascii="Times New Roman" w:hAnsi="Times New Roman" w:eastAsia="仿宋_GB2312" w:cs="Times New Roman"/>
                <w:color w:val="auto"/>
                <w:kern w:val="0"/>
                <w:sz w:val="18"/>
                <w:szCs w:val="18"/>
              </w:rPr>
              <w:br w:type="textWrapping"/>
            </w:r>
            <w:r>
              <w:rPr>
                <w:rFonts w:hint="default" w:ascii="Times New Roman" w:hAnsi="Times New Roman" w:eastAsia="仿宋_GB2312" w:cs="Times New Roman"/>
                <w:color w:val="auto"/>
                <w:kern w:val="0"/>
                <w:sz w:val="18"/>
                <w:szCs w:val="18"/>
              </w:rPr>
              <w:t>④项目实施的人员条件、场地设备、信息支撑等是否落实到位。</w:t>
            </w:r>
          </w:p>
        </w:tc>
        <w:tc>
          <w:tcPr>
            <w:tcW w:w="1300" w:type="dxa"/>
            <w:shd w:val="clear" w:color="000000" w:fill="FFFFFF"/>
            <w:vAlign w:val="center"/>
          </w:tcPr>
          <w:p>
            <w:pPr>
              <w:widowControl/>
              <w:spacing w:line="0" w:lineRule="atLeast"/>
              <w:jc w:val="center"/>
              <w:rPr>
                <w:rFonts w:hint="default" w:ascii="Times New Roman" w:hAnsi="Times New Roman" w:eastAsia="仿宋_GB2312" w:cs="Times New Roman"/>
                <w:b/>
                <w:bCs/>
                <w:color w:val="auto"/>
                <w:kern w:val="0"/>
                <w:sz w:val="18"/>
                <w:szCs w:val="18"/>
              </w:rPr>
            </w:pPr>
            <w:r>
              <w:rPr>
                <w:rFonts w:hint="default" w:ascii="Times New Roman" w:hAnsi="Times New Roman" w:eastAsia="仿宋_GB2312" w:cs="Times New Roman"/>
                <w:b/>
                <w:bCs/>
                <w:color w:val="auto"/>
                <w:kern w:val="0"/>
                <w:sz w:val="18"/>
                <w:szCs w:val="18"/>
              </w:rPr>
              <w:t>4</w:t>
            </w:r>
          </w:p>
        </w:tc>
        <w:tc>
          <w:tcPr>
            <w:tcW w:w="1366" w:type="dxa"/>
            <w:shd w:val="clear" w:color="000000" w:fill="FFFFFF"/>
            <w:vAlign w:val="center"/>
          </w:tcPr>
          <w:p>
            <w:pPr>
              <w:widowControl/>
              <w:spacing w:line="0" w:lineRule="atLeast"/>
              <w:jc w:val="center"/>
              <w:rPr>
                <w:rFonts w:hint="default" w:ascii="Times New Roman" w:hAnsi="Times New Roman" w:eastAsia="仿宋_GB2312" w:cs="Times New Roman"/>
                <w:b/>
                <w:bCs/>
                <w:color w:val="auto"/>
                <w:kern w:val="0"/>
                <w:sz w:val="18"/>
                <w:szCs w:val="18"/>
              </w:rPr>
            </w:pPr>
            <w:r>
              <w:rPr>
                <w:rFonts w:hint="default" w:ascii="Times New Roman" w:hAnsi="Times New Roman" w:eastAsia="仿宋_GB2312" w:cs="Times New Roman"/>
                <w:b/>
                <w:bCs/>
                <w:color w:val="auto"/>
                <w:kern w:val="0"/>
                <w:sz w:val="18"/>
                <w:szCs w:val="18"/>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917" w:hRule="atLeast"/>
          <w:jc w:val="center"/>
        </w:trPr>
        <w:tc>
          <w:tcPr>
            <w:tcW w:w="1004" w:type="dxa"/>
            <w:vMerge w:val="restart"/>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产出</w:t>
            </w:r>
          </w:p>
        </w:tc>
        <w:tc>
          <w:tcPr>
            <w:tcW w:w="1000" w:type="dxa"/>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产出数量</w:t>
            </w: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实际完成率</w:t>
            </w:r>
          </w:p>
        </w:tc>
        <w:tc>
          <w:tcPr>
            <w:tcW w:w="1726" w:type="dxa"/>
            <w:shd w:val="clear" w:color="000000" w:fill="FFFFFF"/>
            <w:vAlign w:val="center"/>
          </w:tcPr>
          <w:p>
            <w:pPr>
              <w:widowControl/>
              <w:spacing w:line="0" w:lineRule="atLeast"/>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项目实施的实际产出数与计划产出数的比率，用以反映和考核项目产出数量目标的实现程度。</w:t>
            </w:r>
          </w:p>
        </w:tc>
        <w:tc>
          <w:tcPr>
            <w:tcW w:w="5216" w:type="dxa"/>
            <w:shd w:val="clear" w:color="000000" w:fill="FFFFFF"/>
            <w:vAlign w:val="center"/>
          </w:tcPr>
          <w:p>
            <w:pPr>
              <w:widowControl/>
              <w:spacing w:line="0" w:lineRule="atLeast"/>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实际完成率=（实际产出数/计划产出数）×100%。</w:t>
            </w:r>
            <w:r>
              <w:rPr>
                <w:rFonts w:hint="default" w:ascii="Times New Roman" w:hAnsi="Times New Roman" w:eastAsia="仿宋_GB2312" w:cs="Times New Roman"/>
                <w:color w:val="auto"/>
                <w:kern w:val="0"/>
                <w:sz w:val="18"/>
                <w:szCs w:val="18"/>
              </w:rPr>
              <w:br w:type="textWrapping"/>
            </w:r>
            <w:r>
              <w:rPr>
                <w:rFonts w:hint="default" w:ascii="Times New Roman" w:hAnsi="Times New Roman" w:eastAsia="仿宋_GB2312" w:cs="Times New Roman"/>
                <w:color w:val="auto"/>
                <w:kern w:val="0"/>
                <w:sz w:val="18"/>
                <w:szCs w:val="18"/>
              </w:rPr>
              <w:t>实际产出数：一定时期（本年度或项目期）内项目实际产出的产品或提供的服务数量。</w:t>
            </w:r>
            <w:r>
              <w:rPr>
                <w:rFonts w:hint="default" w:ascii="Times New Roman" w:hAnsi="Times New Roman" w:eastAsia="仿宋_GB2312" w:cs="Times New Roman"/>
                <w:color w:val="auto"/>
                <w:kern w:val="0"/>
                <w:sz w:val="18"/>
                <w:szCs w:val="18"/>
              </w:rPr>
              <w:br w:type="textWrapping"/>
            </w:r>
            <w:r>
              <w:rPr>
                <w:rFonts w:hint="default" w:ascii="Times New Roman" w:hAnsi="Times New Roman" w:eastAsia="仿宋_GB2312" w:cs="Times New Roman"/>
                <w:color w:val="auto"/>
                <w:kern w:val="0"/>
                <w:sz w:val="18"/>
                <w:szCs w:val="18"/>
              </w:rPr>
              <w:t>计划产出数：项目绩效目标确定的在一定时期（本年度或项目期）内计划产出的产品或提供的服务数量。</w:t>
            </w:r>
          </w:p>
        </w:tc>
        <w:tc>
          <w:tcPr>
            <w:tcW w:w="1300" w:type="dxa"/>
            <w:shd w:val="clear" w:color="000000" w:fill="FFFFFF"/>
            <w:vAlign w:val="center"/>
          </w:tcPr>
          <w:p>
            <w:pPr>
              <w:widowControl/>
              <w:spacing w:line="0" w:lineRule="atLeast"/>
              <w:jc w:val="center"/>
              <w:rPr>
                <w:rFonts w:hint="default" w:ascii="Times New Roman" w:hAnsi="Times New Roman" w:eastAsia="仿宋_GB2312" w:cs="Times New Roman"/>
                <w:b/>
                <w:bCs/>
                <w:color w:val="auto"/>
                <w:kern w:val="0"/>
                <w:sz w:val="18"/>
                <w:szCs w:val="18"/>
              </w:rPr>
            </w:pPr>
            <w:r>
              <w:rPr>
                <w:rFonts w:hint="default" w:ascii="Times New Roman" w:hAnsi="Times New Roman" w:eastAsia="仿宋_GB2312" w:cs="Times New Roman"/>
                <w:b/>
                <w:bCs/>
                <w:color w:val="auto"/>
                <w:kern w:val="0"/>
                <w:sz w:val="18"/>
                <w:szCs w:val="18"/>
              </w:rPr>
              <w:t>10</w:t>
            </w:r>
          </w:p>
        </w:tc>
        <w:tc>
          <w:tcPr>
            <w:tcW w:w="1366" w:type="dxa"/>
            <w:shd w:val="clear" w:color="000000" w:fill="FFFFFF"/>
            <w:vAlign w:val="center"/>
          </w:tcPr>
          <w:p>
            <w:pPr>
              <w:widowControl/>
              <w:spacing w:line="0" w:lineRule="atLeast"/>
              <w:jc w:val="center"/>
              <w:rPr>
                <w:rFonts w:hint="default" w:ascii="Times New Roman" w:hAnsi="Times New Roman" w:eastAsia="仿宋_GB2312" w:cs="Times New Roman"/>
                <w:b/>
                <w:bCs/>
                <w:color w:val="auto"/>
                <w:kern w:val="0"/>
                <w:sz w:val="18"/>
                <w:szCs w:val="18"/>
              </w:rPr>
            </w:pPr>
            <w:r>
              <w:rPr>
                <w:rFonts w:hint="default" w:ascii="Times New Roman" w:hAnsi="Times New Roman" w:eastAsia="仿宋_GB2312" w:cs="Times New Roman"/>
                <w:b/>
                <w:bCs/>
                <w:color w:val="auto"/>
                <w:kern w:val="0"/>
                <w:sz w:val="18"/>
                <w:szCs w:val="18"/>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18" w:hRule="atLeast"/>
          <w:jc w:val="center"/>
        </w:trPr>
        <w:tc>
          <w:tcPr>
            <w:tcW w:w="1004" w:type="dxa"/>
            <w:vMerge w:val="continue"/>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rPr>
            </w:pPr>
          </w:p>
        </w:tc>
        <w:tc>
          <w:tcPr>
            <w:tcW w:w="1000" w:type="dxa"/>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产出质量</w:t>
            </w: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质量达标率</w:t>
            </w:r>
          </w:p>
        </w:tc>
        <w:tc>
          <w:tcPr>
            <w:tcW w:w="1726" w:type="dxa"/>
            <w:shd w:val="clear" w:color="000000" w:fill="FFFFFF"/>
            <w:vAlign w:val="center"/>
          </w:tcPr>
          <w:p>
            <w:pPr>
              <w:widowControl/>
              <w:spacing w:line="0" w:lineRule="atLeast"/>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项目完成的质量达标产出数与实际产出数的比率，用以反映和考核项目产出质量目标的实现程度。</w:t>
            </w:r>
          </w:p>
        </w:tc>
        <w:tc>
          <w:tcPr>
            <w:tcW w:w="5216" w:type="dxa"/>
            <w:shd w:val="clear" w:color="000000" w:fill="FFFFFF"/>
            <w:vAlign w:val="center"/>
          </w:tcPr>
          <w:p>
            <w:pPr>
              <w:widowControl/>
              <w:spacing w:line="0" w:lineRule="atLeast"/>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质量达标率=（质量达标产出数/实际产出数）×100%。</w:t>
            </w:r>
          </w:p>
          <w:p>
            <w:pPr>
              <w:widowControl/>
              <w:spacing w:line="0" w:lineRule="atLeast"/>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1300" w:type="dxa"/>
            <w:shd w:val="clear" w:color="000000" w:fill="FFFFFF"/>
            <w:vAlign w:val="center"/>
          </w:tcPr>
          <w:p>
            <w:pPr>
              <w:widowControl/>
              <w:spacing w:line="0" w:lineRule="atLeast"/>
              <w:jc w:val="center"/>
              <w:rPr>
                <w:rFonts w:hint="default" w:ascii="Times New Roman" w:hAnsi="Times New Roman" w:eastAsia="仿宋_GB2312" w:cs="Times New Roman"/>
                <w:b/>
                <w:bCs/>
                <w:color w:val="auto"/>
                <w:kern w:val="0"/>
                <w:sz w:val="18"/>
                <w:szCs w:val="18"/>
              </w:rPr>
            </w:pPr>
            <w:r>
              <w:rPr>
                <w:rFonts w:hint="default" w:ascii="Times New Roman" w:hAnsi="Times New Roman" w:eastAsia="仿宋_GB2312" w:cs="Times New Roman"/>
                <w:b/>
                <w:bCs/>
                <w:color w:val="auto"/>
                <w:kern w:val="0"/>
                <w:sz w:val="18"/>
                <w:szCs w:val="18"/>
              </w:rPr>
              <w:t>10</w:t>
            </w:r>
          </w:p>
        </w:tc>
        <w:tc>
          <w:tcPr>
            <w:tcW w:w="1366" w:type="dxa"/>
            <w:shd w:val="clear" w:color="000000" w:fill="FFFFFF"/>
            <w:vAlign w:val="center"/>
          </w:tcPr>
          <w:p>
            <w:pPr>
              <w:widowControl/>
              <w:spacing w:line="0" w:lineRule="atLeast"/>
              <w:jc w:val="center"/>
              <w:rPr>
                <w:rFonts w:hint="default" w:ascii="Times New Roman" w:hAnsi="Times New Roman" w:eastAsia="仿宋_GB2312" w:cs="Times New Roman"/>
                <w:b/>
                <w:bCs/>
                <w:color w:val="auto"/>
                <w:kern w:val="0"/>
                <w:sz w:val="18"/>
                <w:szCs w:val="18"/>
              </w:rPr>
            </w:pPr>
            <w:r>
              <w:rPr>
                <w:rFonts w:hint="default" w:ascii="Times New Roman" w:hAnsi="Times New Roman" w:eastAsia="仿宋_GB2312" w:cs="Times New Roman"/>
                <w:b/>
                <w:bCs/>
                <w:color w:val="auto"/>
                <w:kern w:val="0"/>
                <w:sz w:val="18"/>
                <w:szCs w:val="18"/>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506" w:hRule="atLeast"/>
          <w:jc w:val="center"/>
        </w:trPr>
        <w:tc>
          <w:tcPr>
            <w:tcW w:w="1004" w:type="dxa"/>
            <w:vMerge w:val="continue"/>
            <w:shd w:val="clear" w:color="auto" w:fill="FFFFFF"/>
            <w:vAlign w:val="center"/>
          </w:tcPr>
          <w:p>
            <w:pPr>
              <w:spacing w:line="0" w:lineRule="atLeast"/>
              <w:jc w:val="center"/>
              <w:rPr>
                <w:rFonts w:hint="default" w:ascii="Times New Roman" w:hAnsi="Times New Roman" w:eastAsia="仿宋_GB2312" w:cs="Times New Roman"/>
                <w:color w:val="auto"/>
                <w:kern w:val="0"/>
                <w:sz w:val="18"/>
                <w:szCs w:val="18"/>
              </w:rPr>
            </w:pPr>
          </w:p>
        </w:tc>
        <w:tc>
          <w:tcPr>
            <w:tcW w:w="1000" w:type="dxa"/>
            <w:shd w:val="clear" w:color="auto" w:fill="FFFFFF"/>
            <w:vAlign w:val="center"/>
          </w:tcPr>
          <w:p>
            <w:pPr>
              <w:spacing w:line="0" w:lineRule="atLeast"/>
              <w:jc w:val="center"/>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产出时效</w:t>
            </w: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完成及时性</w:t>
            </w:r>
          </w:p>
        </w:tc>
        <w:tc>
          <w:tcPr>
            <w:tcW w:w="1726" w:type="dxa"/>
            <w:shd w:val="clear" w:color="000000" w:fill="FFFFFF"/>
            <w:vAlign w:val="center"/>
          </w:tcPr>
          <w:p>
            <w:pPr>
              <w:widowControl/>
              <w:spacing w:line="0" w:lineRule="atLeast"/>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项目实际完成时间与计划完成时间的比较，用以反映和考核项目产出时效目标的实现程度。</w:t>
            </w:r>
          </w:p>
        </w:tc>
        <w:tc>
          <w:tcPr>
            <w:tcW w:w="5216" w:type="dxa"/>
            <w:shd w:val="clear" w:color="000000" w:fill="FFFFFF"/>
            <w:vAlign w:val="center"/>
          </w:tcPr>
          <w:p>
            <w:pPr>
              <w:widowControl/>
              <w:spacing w:line="0" w:lineRule="atLeast"/>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实际完成时间：项目实施单位完成该项目实际所耗用的时间。</w:t>
            </w:r>
            <w:r>
              <w:rPr>
                <w:rFonts w:hint="default" w:ascii="Times New Roman" w:hAnsi="Times New Roman" w:eastAsia="仿宋_GB2312" w:cs="Times New Roman"/>
                <w:color w:val="auto"/>
                <w:kern w:val="0"/>
                <w:sz w:val="18"/>
                <w:szCs w:val="18"/>
              </w:rPr>
              <w:br w:type="textWrapping"/>
            </w:r>
            <w:r>
              <w:rPr>
                <w:rFonts w:hint="default" w:ascii="Times New Roman" w:hAnsi="Times New Roman" w:eastAsia="仿宋_GB2312" w:cs="Times New Roman"/>
                <w:color w:val="auto"/>
                <w:kern w:val="0"/>
                <w:sz w:val="18"/>
                <w:szCs w:val="18"/>
              </w:rPr>
              <w:t>计划完成时间：按照项目实施计划或相关规定完成该项目所需的时间。</w:t>
            </w:r>
          </w:p>
        </w:tc>
        <w:tc>
          <w:tcPr>
            <w:tcW w:w="1300" w:type="dxa"/>
            <w:shd w:val="clear" w:color="000000" w:fill="FFFFFF"/>
            <w:vAlign w:val="center"/>
          </w:tcPr>
          <w:p>
            <w:pPr>
              <w:widowControl/>
              <w:spacing w:line="0" w:lineRule="atLeast"/>
              <w:jc w:val="center"/>
              <w:rPr>
                <w:rFonts w:hint="default" w:ascii="Times New Roman" w:hAnsi="Times New Roman" w:eastAsia="仿宋_GB2312" w:cs="Times New Roman"/>
                <w:b/>
                <w:bCs/>
                <w:color w:val="auto"/>
                <w:kern w:val="0"/>
                <w:sz w:val="18"/>
                <w:szCs w:val="18"/>
              </w:rPr>
            </w:pPr>
            <w:r>
              <w:rPr>
                <w:rFonts w:hint="default" w:ascii="Times New Roman" w:hAnsi="Times New Roman" w:eastAsia="仿宋_GB2312" w:cs="Times New Roman"/>
                <w:b/>
                <w:bCs/>
                <w:color w:val="auto"/>
                <w:kern w:val="0"/>
                <w:sz w:val="18"/>
                <w:szCs w:val="18"/>
              </w:rPr>
              <w:t>10</w:t>
            </w:r>
          </w:p>
        </w:tc>
        <w:tc>
          <w:tcPr>
            <w:tcW w:w="1366" w:type="dxa"/>
            <w:shd w:val="clear" w:color="000000" w:fill="FFFFFF"/>
            <w:vAlign w:val="center"/>
          </w:tcPr>
          <w:p>
            <w:pPr>
              <w:widowControl/>
              <w:spacing w:line="0" w:lineRule="atLeast"/>
              <w:jc w:val="center"/>
              <w:rPr>
                <w:rFonts w:hint="default" w:ascii="Times New Roman" w:hAnsi="Times New Roman" w:eastAsia="仿宋_GB2312" w:cs="Times New Roman"/>
                <w:b/>
                <w:bCs/>
                <w:color w:val="auto"/>
                <w:kern w:val="0"/>
                <w:sz w:val="18"/>
                <w:szCs w:val="18"/>
              </w:rPr>
            </w:pPr>
            <w:r>
              <w:rPr>
                <w:rFonts w:hint="default" w:ascii="Times New Roman" w:hAnsi="Times New Roman" w:eastAsia="仿宋_GB2312" w:cs="Times New Roman"/>
                <w:b/>
                <w:bCs/>
                <w:color w:val="auto"/>
                <w:kern w:val="0"/>
                <w:sz w:val="18"/>
                <w:szCs w:val="18"/>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2076" w:hRule="atLeast"/>
          <w:jc w:val="center"/>
        </w:trPr>
        <w:tc>
          <w:tcPr>
            <w:tcW w:w="1004" w:type="dxa"/>
            <w:vMerge w:val="continue"/>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rPr>
            </w:pPr>
          </w:p>
        </w:tc>
        <w:tc>
          <w:tcPr>
            <w:tcW w:w="1000" w:type="dxa"/>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产出成本</w:t>
            </w: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成本节约率</w:t>
            </w:r>
          </w:p>
        </w:tc>
        <w:tc>
          <w:tcPr>
            <w:tcW w:w="1726" w:type="dxa"/>
            <w:shd w:val="clear" w:color="000000" w:fill="FFFFFF"/>
            <w:vAlign w:val="center"/>
          </w:tcPr>
          <w:p>
            <w:pPr>
              <w:widowControl/>
              <w:spacing w:line="0" w:lineRule="atLeast"/>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完成项目计划工作目标的实际节约成本与计划成本的比率，用以反映和考核项目的成本节约程度。</w:t>
            </w:r>
          </w:p>
        </w:tc>
        <w:tc>
          <w:tcPr>
            <w:tcW w:w="5216" w:type="dxa"/>
            <w:shd w:val="clear" w:color="000000" w:fill="FFFFFF"/>
            <w:vAlign w:val="center"/>
          </w:tcPr>
          <w:p>
            <w:pPr>
              <w:widowControl/>
              <w:spacing w:line="0" w:lineRule="atLeast"/>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br w:type="textWrapping"/>
            </w:r>
            <w:r>
              <w:rPr>
                <w:rFonts w:hint="default" w:ascii="Times New Roman" w:hAnsi="Times New Roman" w:eastAsia="仿宋_GB2312" w:cs="Times New Roman"/>
                <w:color w:val="auto"/>
                <w:kern w:val="0"/>
                <w:sz w:val="18"/>
                <w:szCs w:val="18"/>
              </w:rPr>
              <w:t>成本节约率=[（计划成本-实际成本）/计划成本]×100%。</w:t>
            </w:r>
            <w:r>
              <w:rPr>
                <w:rFonts w:hint="default" w:ascii="Times New Roman" w:hAnsi="Times New Roman" w:eastAsia="仿宋_GB2312" w:cs="Times New Roman"/>
                <w:color w:val="auto"/>
                <w:kern w:val="0"/>
                <w:sz w:val="18"/>
                <w:szCs w:val="18"/>
              </w:rPr>
              <w:br w:type="textWrapping"/>
            </w:r>
            <w:r>
              <w:rPr>
                <w:rFonts w:hint="default" w:ascii="Times New Roman" w:hAnsi="Times New Roman" w:eastAsia="仿宋_GB2312" w:cs="Times New Roman"/>
                <w:color w:val="auto"/>
                <w:kern w:val="0"/>
                <w:sz w:val="18"/>
                <w:szCs w:val="18"/>
              </w:rPr>
              <w:t>实际成本：项目实施单位如期、保质、保量完成既定工作目标实际所耗费的支出。</w:t>
            </w:r>
            <w:r>
              <w:rPr>
                <w:rFonts w:hint="default" w:ascii="Times New Roman" w:hAnsi="Times New Roman" w:eastAsia="仿宋_GB2312" w:cs="Times New Roman"/>
                <w:color w:val="auto"/>
                <w:kern w:val="0"/>
                <w:sz w:val="18"/>
                <w:szCs w:val="18"/>
              </w:rPr>
              <w:br w:type="textWrapping"/>
            </w:r>
            <w:r>
              <w:rPr>
                <w:rFonts w:hint="default" w:ascii="Times New Roman" w:hAnsi="Times New Roman" w:eastAsia="仿宋_GB2312" w:cs="Times New Roman"/>
                <w:color w:val="auto"/>
                <w:kern w:val="0"/>
                <w:sz w:val="18"/>
                <w:szCs w:val="18"/>
              </w:rPr>
              <w:t>计划成本：项目实施单位为完成工作目标计划安排的支出，一般以项目预算为参考。</w:t>
            </w:r>
          </w:p>
        </w:tc>
        <w:tc>
          <w:tcPr>
            <w:tcW w:w="1300" w:type="dxa"/>
            <w:shd w:val="clear" w:color="000000" w:fill="FFFFFF"/>
            <w:vAlign w:val="center"/>
          </w:tcPr>
          <w:p>
            <w:pPr>
              <w:widowControl/>
              <w:spacing w:line="0" w:lineRule="atLeast"/>
              <w:jc w:val="center"/>
              <w:rPr>
                <w:rFonts w:hint="default" w:ascii="Times New Roman" w:hAnsi="Times New Roman" w:eastAsia="仿宋_GB2312" w:cs="Times New Roman"/>
                <w:b/>
                <w:bCs/>
                <w:color w:val="auto"/>
                <w:kern w:val="0"/>
                <w:sz w:val="18"/>
                <w:szCs w:val="18"/>
              </w:rPr>
            </w:pPr>
            <w:r>
              <w:rPr>
                <w:rFonts w:hint="default" w:ascii="Times New Roman" w:hAnsi="Times New Roman" w:eastAsia="仿宋_GB2312" w:cs="Times New Roman"/>
                <w:b/>
                <w:bCs/>
                <w:color w:val="auto"/>
                <w:kern w:val="0"/>
                <w:sz w:val="18"/>
                <w:szCs w:val="18"/>
              </w:rPr>
              <w:t>10</w:t>
            </w:r>
          </w:p>
        </w:tc>
        <w:tc>
          <w:tcPr>
            <w:tcW w:w="1366" w:type="dxa"/>
            <w:shd w:val="clear" w:color="000000" w:fill="FFFFFF"/>
            <w:vAlign w:val="center"/>
          </w:tcPr>
          <w:p>
            <w:pPr>
              <w:widowControl/>
              <w:spacing w:line="0" w:lineRule="atLeast"/>
              <w:jc w:val="center"/>
              <w:rPr>
                <w:rFonts w:hint="default" w:ascii="Times New Roman" w:hAnsi="Times New Roman" w:eastAsia="仿宋_GB2312" w:cs="Times New Roman"/>
                <w:b/>
                <w:bCs/>
                <w:color w:val="auto"/>
                <w:kern w:val="0"/>
                <w:sz w:val="18"/>
                <w:szCs w:val="18"/>
              </w:rPr>
            </w:pPr>
            <w:r>
              <w:rPr>
                <w:rFonts w:hint="default" w:ascii="Times New Roman" w:hAnsi="Times New Roman" w:eastAsia="仿宋_GB2312" w:cs="Times New Roman"/>
                <w:b/>
                <w:bCs/>
                <w:color w:val="auto"/>
                <w:kern w:val="0"/>
                <w:sz w:val="18"/>
                <w:szCs w:val="18"/>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889" w:hRule="atLeast"/>
          <w:jc w:val="center"/>
        </w:trPr>
        <w:tc>
          <w:tcPr>
            <w:tcW w:w="1004" w:type="dxa"/>
            <w:vMerge w:val="restart"/>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效益　</w:t>
            </w:r>
          </w:p>
        </w:tc>
        <w:tc>
          <w:tcPr>
            <w:tcW w:w="1000" w:type="dxa"/>
            <w:vMerge w:val="restart"/>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项目效益　</w:t>
            </w: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实施效益</w:t>
            </w:r>
          </w:p>
        </w:tc>
        <w:tc>
          <w:tcPr>
            <w:tcW w:w="1726" w:type="dxa"/>
            <w:shd w:val="clear" w:color="auto" w:fill="FFFFFF"/>
            <w:vAlign w:val="center"/>
          </w:tcPr>
          <w:p>
            <w:pPr>
              <w:widowControl/>
              <w:spacing w:line="0" w:lineRule="atLeast"/>
              <w:jc w:val="left"/>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项目实施所产生的效益。</w:t>
            </w:r>
          </w:p>
        </w:tc>
        <w:tc>
          <w:tcPr>
            <w:tcW w:w="5216" w:type="dxa"/>
            <w:shd w:val="clear" w:color="auto" w:fill="FFFFFF"/>
            <w:vAlign w:val="center"/>
          </w:tcPr>
          <w:p>
            <w:pPr>
              <w:widowControl/>
              <w:spacing w:line="0" w:lineRule="atLeast"/>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项目实施所产生的社会效益、经济效益、生态效益、可持续影响等。可根据项目实际情况有选择地设置和细化。</w:t>
            </w:r>
          </w:p>
        </w:tc>
        <w:tc>
          <w:tcPr>
            <w:tcW w:w="1300" w:type="dxa"/>
            <w:shd w:val="clear" w:color="auto" w:fill="FFFFFF"/>
            <w:vAlign w:val="center"/>
          </w:tcPr>
          <w:p>
            <w:pPr>
              <w:widowControl/>
              <w:spacing w:line="0" w:lineRule="atLeast"/>
              <w:jc w:val="center"/>
              <w:rPr>
                <w:rFonts w:hint="default" w:ascii="Times New Roman" w:hAnsi="Times New Roman" w:eastAsia="仿宋_GB2312" w:cs="Times New Roman"/>
                <w:b/>
                <w:bCs/>
                <w:color w:val="auto"/>
                <w:kern w:val="0"/>
                <w:sz w:val="18"/>
                <w:szCs w:val="18"/>
              </w:rPr>
            </w:pPr>
            <w:r>
              <w:rPr>
                <w:rFonts w:hint="default" w:ascii="Times New Roman" w:hAnsi="Times New Roman" w:eastAsia="仿宋_GB2312" w:cs="Times New Roman"/>
                <w:b/>
                <w:bCs/>
                <w:color w:val="auto"/>
                <w:kern w:val="0"/>
                <w:sz w:val="18"/>
                <w:szCs w:val="18"/>
              </w:rPr>
              <w:t>10</w:t>
            </w:r>
          </w:p>
        </w:tc>
        <w:tc>
          <w:tcPr>
            <w:tcW w:w="1366" w:type="dxa"/>
            <w:shd w:val="clear" w:color="auto" w:fill="FFFFFF"/>
            <w:vAlign w:val="center"/>
          </w:tcPr>
          <w:p>
            <w:pPr>
              <w:widowControl/>
              <w:spacing w:line="0" w:lineRule="atLeast"/>
              <w:jc w:val="center"/>
              <w:rPr>
                <w:rFonts w:hint="default" w:ascii="Times New Roman" w:hAnsi="Times New Roman" w:eastAsia="仿宋_GB2312" w:cs="Times New Roman"/>
                <w:b/>
                <w:bCs/>
                <w:color w:val="auto"/>
                <w:kern w:val="0"/>
                <w:sz w:val="18"/>
                <w:szCs w:val="18"/>
              </w:rPr>
            </w:pPr>
            <w:r>
              <w:rPr>
                <w:rFonts w:hint="default" w:ascii="Times New Roman" w:hAnsi="Times New Roman" w:eastAsia="仿宋_GB2312" w:cs="Times New Roman"/>
                <w:b/>
                <w:bCs/>
                <w:color w:val="auto"/>
                <w:kern w:val="0"/>
                <w:sz w:val="18"/>
                <w:szCs w:val="18"/>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137" w:hRule="atLeast"/>
          <w:jc w:val="center"/>
        </w:trPr>
        <w:tc>
          <w:tcPr>
            <w:tcW w:w="1004" w:type="dxa"/>
            <w:vMerge w:val="continue"/>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rPr>
            </w:pPr>
          </w:p>
        </w:tc>
        <w:tc>
          <w:tcPr>
            <w:tcW w:w="1000" w:type="dxa"/>
            <w:vMerge w:val="continue"/>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rPr>
            </w:pP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满意度</w:t>
            </w:r>
          </w:p>
        </w:tc>
        <w:tc>
          <w:tcPr>
            <w:tcW w:w="1726" w:type="dxa"/>
            <w:shd w:val="clear" w:color="000000" w:fill="FFFFFF"/>
            <w:vAlign w:val="center"/>
          </w:tcPr>
          <w:p>
            <w:pPr>
              <w:widowControl/>
              <w:spacing w:line="0" w:lineRule="atLeast"/>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社会公众或服务对象对项目实施效果的满意程度。</w:t>
            </w:r>
          </w:p>
        </w:tc>
        <w:tc>
          <w:tcPr>
            <w:tcW w:w="5216" w:type="dxa"/>
            <w:shd w:val="clear" w:color="000000" w:fill="FFFFFF"/>
            <w:vAlign w:val="center"/>
          </w:tcPr>
          <w:p>
            <w:pPr>
              <w:widowControl/>
              <w:spacing w:line="0" w:lineRule="atLeast"/>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社会公众或服务对象是指因该项目实施而受到影响的部门（单位）、群体或个人。一般采取社会调查的方式。</w:t>
            </w:r>
          </w:p>
        </w:tc>
        <w:tc>
          <w:tcPr>
            <w:tcW w:w="1300" w:type="dxa"/>
            <w:shd w:val="clear" w:color="000000" w:fill="FFFFFF"/>
            <w:vAlign w:val="center"/>
          </w:tcPr>
          <w:p>
            <w:pPr>
              <w:widowControl/>
              <w:spacing w:line="0" w:lineRule="atLeast"/>
              <w:jc w:val="center"/>
              <w:rPr>
                <w:rFonts w:hint="default" w:ascii="Times New Roman" w:hAnsi="Times New Roman" w:eastAsia="仿宋_GB2312" w:cs="Times New Roman"/>
                <w:b/>
                <w:bCs/>
                <w:color w:val="auto"/>
                <w:kern w:val="0"/>
                <w:sz w:val="18"/>
                <w:szCs w:val="18"/>
              </w:rPr>
            </w:pPr>
            <w:r>
              <w:rPr>
                <w:rFonts w:hint="default" w:ascii="Times New Roman" w:hAnsi="Times New Roman" w:eastAsia="仿宋_GB2312" w:cs="Times New Roman"/>
                <w:b/>
                <w:bCs/>
                <w:color w:val="auto"/>
                <w:kern w:val="0"/>
                <w:sz w:val="18"/>
                <w:szCs w:val="18"/>
              </w:rPr>
              <w:t>10</w:t>
            </w:r>
          </w:p>
        </w:tc>
        <w:tc>
          <w:tcPr>
            <w:tcW w:w="1366" w:type="dxa"/>
            <w:shd w:val="clear" w:color="000000" w:fill="FFFFFF"/>
            <w:vAlign w:val="center"/>
          </w:tcPr>
          <w:p>
            <w:pPr>
              <w:widowControl/>
              <w:spacing w:line="0" w:lineRule="atLeast"/>
              <w:jc w:val="center"/>
              <w:rPr>
                <w:rFonts w:hint="default" w:ascii="Times New Roman" w:hAnsi="Times New Roman" w:eastAsia="仿宋_GB2312" w:cs="Times New Roman"/>
                <w:b/>
                <w:bCs/>
                <w:color w:val="auto"/>
                <w:kern w:val="0"/>
                <w:sz w:val="18"/>
                <w:szCs w:val="18"/>
              </w:rPr>
            </w:pPr>
            <w:r>
              <w:rPr>
                <w:rFonts w:hint="default" w:ascii="Times New Roman" w:hAnsi="Times New Roman" w:eastAsia="仿宋_GB2312" w:cs="Times New Roman"/>
                <w:b/>
                <w:bCs/>
                <w:color w:val="auto"/>
                <w:kern w:val="0"/>
                <w:sz w:val="18"/>
                <w:szCs w:val="18"/>
              </w:rPr>
              <w:t>10</w:t>
            </w:r>
          </w:p>
        </w:tc>
      </w:tr>
    </w:tbl>
    <w:p>
      <w:pPr>
        <w:rPr>
          <w:rFonts w:hint="default" w:ascii="Times New Roman" w:hAnsi="Times New Roman" w:cs="Times New Roman"/>
          <w:color w:val="auto"/>
        </w:rPr>
        <w:sectPr>
          <w:pgSz w:w="16838" w:h="11906" w:orient="landscape"/>
          <w:pgMar w:top="1800" w:right="1440" w:bottom="1558" w:left="1440" w:header="851" w:footer="992" w:gutter="0"/>
          <w:cols w:space="425" w:num="1"/>
          <w:docGrid w:type="lines" w:linePitch="312" w:charSpace="0"/>
        </w:sectPr>
      </w:pPr>
    </w:p>
    <w:p>
      <w:pPr>
        <w:keepNext w:val="0"/>
        <w:keepLines w:val="0"/>
        <w:pageBreakBefore w:val="0"/>
        <w:widowControl w:val="0"/>
        <w:kinsoku/>
        <w:wordWrap/>
        <w:overflowPunct/>
        <w:topLinePunct w:val="0"/>
        <w:autoSpaceDE/>
        <w:autoSpaceDN/>
        <w:bidi w:val="0"/>
        <w:adjustRightInd/>
        <w:snapToGrid/>
        <w:spacing w:line="240" w:lineRule="atLeast"/>
        <w:jc w:val="left"/>
        <w:textAlignment w:val="auto"/>
        <w:rPr>
          <w:rFonts w:hint="default" w:ascii="Times New Roman" w:hAnsi="Times New Roman" w:eastAsia="黑体" w:cs="Times New Roman"/>
          <w:b/>
          <w:bCs/>
          <w:i w:val="0"/>
          <w:iCs w:val="0"/>
          <w:color w:val="auto"/>
          <w:kern w:val="0"/>
          <w:sz w:val="32"/>
          <w:szCs w:val="32"/>
          <w:u w:val="none"/>
          <w:lang w:val="en-US" w:eastAsia="zh-CN" w:bidi="ar"/>
        </w:rPr>
      </w:pPr>
      <w:r>
        <w:rPr>
          <w:rFonts w:hint="default" w:ascii="Times New Roman" w:hAnsi="Times New Roman" w:eastAsia="黑体" w:cs="Times New Roman"/>
          <w:b/>
          <w:bCs/>
          <w:i w:val="0"/>
          <w:iCs w:val="0"/>
          <w:color w:val="auto"/>
          <w:kern w:val="0"/>
          <w:sz w:val="32"/>
          <w:szCs w:val="32"/>
          <w:u w:val="none"/>
          <w:lang w:val="en-US" w:eastAsia="zh-CN" w:bidi="ar"/>
        </w:rPr>
        <w:t>附件2</w:t>
      </w:r>
    </w:p>
    <w:tbl>
      <w:tblPr>
        <w:tblStyle w:val="20"/>
        <w:tblW w:w="13978" w:type="dxa"/>
        <w:tblInd w:w="0" w:type="dxa"/>
        <w:shd w:val="clear" w:color="auto" w:fill="auto"/>
        <w:tblLayout w:type="fixed"/>
        <w:tblCellMar>
          <w:top w:w="0" w:type="dxa"/>
          <w:left w:w="0" w:type="dxa"/>
          <w:bottom w:w="0" w:type="dxa"/>
          <w:right w:w="0" w:type="dxa"/>
        </w:tblCellMar>
      </w:tblPr>
      <w:tblGrid>
        <w:gridCol w:w="582"/>
        <w:gridCol w:w="583"/>
        <w:gridCol w:w="583"/>
        <w:gridCol w:w="1306"/>
        <w:gridCol w:w="930"/>
        <w:gridCol w:w="930"/>
        <w:gridCol w:w="929"/>
        <w:gridCol w:w="929"/>
        <w:gridCol w:w="930"/>
        <w:gridCol w:w="929"/>
        <w:gridCol w:w="930"/>
        <w:gridCol w:w="1118"/>
        <w:gridCol w:w="993"/>
        <w:gridCol w:w="2306"/>
      </w:tblGrid>
      <w:tr>
        <w:tblPrEx>
          <w:shd w:val="clear" w:color="auto" w:fill="auto"/>
          <w:tblLayout w:type="fixed"/>
          <w:tblCellMar>
            <w:top w:w="0" w:type="dxa"/>
            <w:left w:w="0" w:type="dxa"/>
            <w:bottom w:w="0" w:type="dxa"/>
            <w:right w:w="0" w:type="dxa"/>
          </w:tblCellMar>
        </w:tblPrEx>
        <w:trPr>
          <w:trHeight w:val="420" w:hRule="atLeast"/>
        </w:trPr>
        <w:tc>
          <w:tcPr>
            <w:tcW w:w="13978" w:type="dxa"/>
            <w:gridSpan w:val="14"/>
            <w:tcBorders>
              <w:top w:val="nil"/>
              <w:left w:val="nil"/>
              <w:bottom w:val="nil"/>
              <w:right w:val="nil"/>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32"/>
                <w:szCs w:val="32"/>
                <w:u w:val="none"/>
              </w:rPr>
            </w:pPr>
            <w:r>
              <w:rPr>
                <w:rFonts w:hint="eastAsia" w:ascii="宋体" w:hAnsi="宋体" w:eastAsia="宋体" w:cs="宋体"/>
                <w:b/>
                <w:i w:val="0"/>
                <w:color w:val="000000"/>
                <w:kern w:val="0"/>
                <w:sz w:val="32"/>
                <w:szCs w:val="32"/>
                <w:u w:val="none"/>
                <w:lang w:val="en-US" w:eastAsia="zh-CN" w:bidi="ar"/>
              </w:rPr>
              <w:t>项目支出绩效自评表</w:t>
            </w:r>
          </w:p>
        </w:tc>
      </w:tr>
      <w:tr>
        <w:tblPrEx>
          <w:shd w:val="clear" w:color="auto" w:fill="auto"/>
          <w:tblLayout w:type="fixed"/>
          <w:tblCellMar>
            <w:top w:w="0" w:type="dxa"/>
            <w:left w:w="0" w:type="dxa"/>
            <w:bottom w:w="0" w:type="dxa"/>
            <w:right w:w="0" w:type="dxa"/>
          </w:tblCellMar>
        </w:tblPrEx>
        <w:trPr>
          <w:trHeight w:val="380" w:hRule="atLeast"/>
        </w:trPr>
        <w:tc>
          <w:tcPr>
            <w:tcW w:w="13978" w:type="dxa"/>
            <w:gridSpan w:val="14"/>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(2024年度)</w:t>
            </w:r>
          </w:p>
        </w:tc>
      </w:tr>
      <w:tr>
        <w:tblPrEx>
          <w:shd w:val="clear" w:color="auto" w:fill="auto"/>
          <w:tblLayout w:type="fixed"/>
          <w:tblCellMar>
            <w:top w:w="0" w:type="dxa"/>
            <w:left w:w="0" w:type="dxa"/>
            <w:bottom w:w="0" w:type="dxa"/>
            <w:right w:w="0" w:type="dxa"/>
          </w:tblCellMar>
        </w:tblPrEx>
        <w:trPr>
          <w:trHeight w:val="380" w:hRule="atLeast"/>
        </w:trPr>
        <w:tc>
          <w:tcPr>
            <w:tcW w:w="1165"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项目名称</w:t>
            </w:r>
          </w:p>
        </w:tc>
        <w:tc>
          <w:tcPr>
            <w:tcW w:w="12813" w:type="dxa"/>
            <w:gridSpan w:val="1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资产清查及资产核销专项业务</w:t>
            </w:r>
          </w:p>
        </w:tc>
      </w:tr>
      <w:tr>
        <w:tblPrEx>
          <w:tblLayout w:type="fixed"/>
          <w:tblCellMar>
            <w:top w:w="0" w:type="dxa"/>
            <w:left w:w="0" w:type="dxa"/>
            <w:bottom w:w="0" w:type="dxa"/>
            <w:right w:w="0" w:type="dxa"/>
          </w:tblCellMar>
        </w:tblPrEx>
        <w:trPr>
          <w:trHeight w:val="380" w:hRule="atLeast"/>
        </w:trPr>
        <w:tc>
          <w:tcPr>
            <w:tcW w:w="1165"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主管部门</w:t>
            </w:r>
          </w:p>
        </w:tc>
        <w:tc>
          <w:tcPr>
            <w:tcW w:w="4678" w:type="dxa"/>
            <w:gridSpan w:val="5"/>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自治区工业和信息化厅</w:t>
            </w:r>
          </w:p>
        </w:tc>
        <w:tc>
          <w:tcPr>
            <w:tcW w:w="1859"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实施单位</w:t>
            </w:r>
          </w:p>
        </w:tc>
        <w:tc>
          <w:tcPr>
            <w:tcW w:w="6276" w:type="dxa"/>
            <w:gridSpan w:val="5"/>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塔城地区无线电管理局</w:t>
            </w:r>
          </w:p>
        </w:tc>
      </w:tr>
      <w:tr>
        <w:tblPrEx>
          <w:tblLayout w:type="fixed"/>
          <w:tblCellMar>
            <w:top w:w="0" w:type="dxa"/>
            <w:left w:w="0" w:type="dxa"/>
            <w:bottom w:w="0" w:type="dxa"/>
            <w:right w:w="0" w:type="dxa"/>
          </w:tblCellMar>
        </w:tblPrEx>
        <w:trPr>
          <w:trHeight w:val="380" w:hRule="atLeast"/>
        </w:trPr>
        <w:tc>
          <w:tcPr>
            <w:tcW w:w="1165"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项目资金</w:t>
            </w:r>
            <w:r>
              <w:rPr>
                <w:rFonts w:hint="eastAsia" w:ascii="宋体" w:hAnsi="宋体" w:eastAsia="宋体" w:cs="宋体"/>
                <w:b/>
                <w:i w:val="0"/>
                <w:color w:val="000000"/>
                <w:kern w:val="0"/>
                <w:sz w:val="18"/>
                <w:szCs w:val="18"/>
                <w:u w:val="none"/>
                <w:lang w:val="en-US" w:eastAsia="zh-CN" w:bidi="ar"/>
              </w:rPr>
              <w:br w:type="textWrapping"/>
            </w:r>
            <w:r>
              <w:rPr>
                <w:rFonts w:hint="eastAsia" w:ascii="宋体" w:hAnsi="宋体" w:eastAsia="宋体" w:cs="宋体"/>
                <w:b/>
                <w:i w:val="0"/>
                <w:color w:val="000000"/>
                <w:kern w:val="0"/>
                <w:sz w:val="18"/>
                <w:szCs w:val="18"/>
                <w:u w:val="none"/>
                <w:lang w:val="en-US" w:eastAsia="zh-CN" w:bidi="ar"/>
              </w:rPr>
              <w:t>（万元）</w:t>
            </w:r>
          </w:p>
        </w:tc>
        <w:tc>
          <w:tcPr>
            <w:tcW w:w="1889"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b/>
                <w:i w:val="0"/>
                <w:color w:val="000000"/>
                <w:sz w:val="18"/>
                <w:szCs w:val="18"/>
                <w:u w:val="none"/>
              </w:rPr>
            </w:pP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年初预算数</w:t>
            </w:r>
          </w:p>
        </w:tc>
        <w:tc>
          <w:tcPr>
            <w:tcW w:w="1859"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全年预算数</w:t>
            </w:r>
          </w:p>
        </w:tc>
        <w:tc>
          <w:tcPr>
            <w:tcW w:w="1859"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全年执行数</w:t>
            </w:r>
          </w:p>
        </w:tc>
        <w:tc>
          <w:tcPr>
            <w:tcW w:w="1859"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分值</w:t>
            </w:r>
          </w:p>
        </w:tc>
        <w:tc>
          <w:tcPr>
            <w:tcW w:w="2111"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执行率</w:t>
            </w:r>
          </w:p>
        </w:tc>
        <w:tc>
          <w:tcPr>
            <w:tcW w:w="230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得分</w:t>
            </w:r>
          </w:p>
        </w:tc>
      </w:tr>
      <w:tr>
        <w:tblPrEx>
          <w:shd w:val="clear" w:color="auto" w:fill="auto"/>
          <w:tblLayout w:type="fixed"/>
          <w:tblCellMar>
            <w:top w:w="0" w:type="dxa"/>
            <w:left w:w="0" w:type="dxa"/>
            <w:bottom w:w="0" w:type="dxa"/>
            <w:right w:w="0" w:type="dxa"/>
          </w:tblCellMar>
        </w:tblPrEx>
        <w:trPr>
          <w:trHeight w:val="380" w:hRule="atLeast"/>
        </w:trPr>
        <w:tc>
          <w:tcPr>
            <w:tcW w:w="116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b/>
                <w:i w:val="0"/>
                <w:color w:val="000000"/>
                <w:sz w:val="18"/>
                <w:szCs w:val="18"/>
                <w:u w:val="none"/>
              </w:rPr>
            </w:pPr>
          </w:p>
        </w:tc>
        <w:tc>
          <w:tcPr>
            <w:tcW w:w="1889"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年度资金总额</w:t>
            </w: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10.40</w:t>
            </w:r>
          </w:p>
        </w:tc>
        <w:tc>
          <w:tcPr>
            <w:tcW w:w="1859"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10.40</w:t>
            </w:r>
          </w:p>
        </w:tc>
        <w:tc>
          <w:tcPr>
            <w:tcW w:w="1859"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10.40</w:t>
            </w:r>
          </w:p>
        </w:tc>
        <w:tc>
          <w:tcPr>
            <w:tcW w:w="1859"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10.00</w:t>
            </w:r>
          </w:p>
        </w:tc>
        <w:tc>
          <w:tcPr>
            <w:tcW w:w="2111"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100.00%</w:t>
            </w:r>
          </w:p>
        </w:tc>
        <w:tc>
          <w:tcPr>
            <w:tcW w:w="230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10.00</w:t>
            </w:r>
          </w:p>
        </w:tc>
      </w:tr>
      <w:tr>
        <w:tblPrEx>
          <w:shd w:val="clear" w:color="auto" w:fill="auto"/>
          <w:tblLayout w:type="fixed"/>
          <w:tblCellMar>
            <w:top w:w="0" w:type="dxa"/>
            <w:left w:w="0" w:type="dxa"/>
            <w:bottom w:w="0" w:type="dxa"/>
            <w:right w:w="0" w:type="dxa"/>
          </w:tblCellMar>
        </w:tblPrEx>
        <w:trPr>
          <w:trHeight w:val="380" w:hRule="atLeast"/>
        </w:trPr>
        <w:tc>
          <w:tcPr>
            <w:tcW w:w="116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b/>
                <w:i w:val="0"/>
                <w:color w:val="000000"/>
                <w:sz w:val="18"/>
                <w:szCs w:val="18"/>
                <w:u w:val="none"/>
              </w:rPr>
            </w:pPr>
          </w:p>
        </w:tc>
        <w:tc>
          <w:tcPr>
            <w:tcW w:w="1889"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其中：当年财政拨款</w:t>
            </w: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1859"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1859"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1859"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2111"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230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r>
      <w:tr>
        <w:tblPrEx>
          <w:tblLayout w:type="fixed"/>
          <w:tblCellMar>
            <w:top w:w="0" w:type="dxa"/>
            <w:left w:w="0" w:type="dxa"/>
            <w:bottom w:w="0" w:type="dxa"/>
            <w:right w:w="0" w:type="dxa"/>
          </w:tblCellMar>
        </w:tblPrEx>
        <w:trPr>
          <w:trHeight w:val="380" w:hRule="atLeast"/>
        </w:trPr>
        <w:tc>
          <w:tcPr>
            <w:tcW w:w="116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b/>
                <w:i w:val="0"/>
                <w:color w:val="000000"/>
                <w:sz w:val="18"/>
                <w:szCs w:val="18"/>
                <w:u w:val="none"/>
              </w:rPr>
            </w:pPr>
          </w:p>
        </w:tc>
        <w:tc>
          <w:tcPr>
            <w:tcW w:w="1889"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 xml:space="preserve">  其他资金</w:t>
            </w: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10.40</w:t>
            </w:r>
          </w:p>
        </w:tc>
        <w:tc>
          <w:tcPr>
            <w:tcW w:w="1859"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10.40</w:t>
            </w:r>
          </w:p>
        </w:tc>
        <w:tc>
          <w:tcPr>
            <w:tcW w:w="1859"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10.40</w:t>
            </w:r>
          </w:p>
        </w:tc>
        <w:tc>
          <w:tcPr>
            <w:tcW w:w="1859"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2111"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230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r>
      <w:tr>
        <w:tblPrEx>
          <w:tblLayout w:type="fixed"/>
          <w:tblCellMar>
            <w:top w:w="0" w:type="dxa"/>
            <w:left w:w="0" w:type="dxa"/>
            <w:bottom w:w="0" w:type="dxa"/>
            <w:right w:w="0" w:type="dxa"/>
          </w:tblCellMar>
        </w:tblPrEx>
        <w:trPr>
          <w:trHeight w:val="380" w:hRule="atLeast"/>
        </w:trPr>
        <w:tc>
          <w:tcPr>
            <w:tcW w:w="582"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年度总体目标</w:t>
            </w:r>
          </w:p>
        </w:tc>
        <w:tc>
          <w:tcPr>
            <w:tcW w:w="5261" w:type="dxa"/>
            <w:gridSpan w:val="6"/>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预期目标</w:t>
            </w:r>
          </w:p>
        </w:tc>
        <w:tc>
          <w:tcPr>
            <w:tcW w:w="8135" w:type="dxa"/>
            <w:gridSpan w:val="7"/>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实际完成情况</w:t>
            </w:r>
          </w:p>
        </w:tc>
      </w:tr>
      <w:tr>
        <w:tblPrEx>
          <w:tblLayout w:type="fixed"/>
          <w:tblCellMar>
            <w:top w:w="0" w:type="dxa"/>
            <w:left w:w="0" w:type="dxa"/>
            <w:bottom w:w="0" w:type="dxa"/>
            <w:right w:w="0" w:type="dxa"/>
          </w:tblCellMar>
        </w:tblPrEx>
        <w:trPr>
          <w:trHeight w:val="700" w:hRule="atLeast"/>
        </w:trPr>
        <w:tc>
          <w:tcPr>
            <w:tcW w:w="5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b/>
                <w:i w:val="0"/>
                <w:color w:val="000000"/>
                <w:sz w:val="18"/>
                <w:szCs w:val="18"/>
                <w:u w:val="none"/>
              </w:rPr>
            </w:pPr>
          </w:p>
        </w:tc>
        <w:tc>
          <w:tcPr>
            <w:tcW w:w="5261" w:type="dxa"/>
            <w:gridSpan w:val="6"/>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为了全面摸清家底,进一步强化行固定资产管理，夯实固定资产管理信息系统数据，推进资产管理与预算管理、财务管理相结合，委托中介机构对截至2023年12月31日前固定资产开展清查审计工作。</w:t>
            </w:r>
          </w:p>
        </w:tc>
        <w:tc>
          <w:tcPr>
            <w:tcW w:w="8135" w:type="dxa"/>
            <w:gridSpan w:val="7"/>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已完成对截止2023年12月31日前资产进行清查审计并出具资产清查报告，对本次清查出的待报废固定资产进行鉴定并出具固定资产报废鉴证报告，并完成固定资产标签编制、打印、张贴工作。</w:t>
            </w:r>
          </w:p>
        </w:tc>
      </w:tr>
      <w:tr>
        <w:tblPrEx>
          <w:shd w:val="clear" w:color="auto" w:fill="auto"/>
          <w:tblLayout w:type="fixed"/>
          <w:tblCellMar>
            <w:top w:w="0" w:type="dxa"/>
            <w:left w:w="0" w:type="dxa"/>
            <w:bottom w:w="0" w:type="dxa"/>
            <w:right w:w="0" w:type="dxa"/>
          </w:tblCellMar>
        </w:tblPrEx>
        <w:trPr>
          <w:trHeight w:val="280" w:hRule="atLeast"/>
        </w:trPr>
        <w:tc>
          <w:tcPr>
            <w:tcW w:w="582"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18"/>
                <w:szCs w:val="18"/>
                <w:u w:val="none"/>
              </w:rPr>
            </w:pPr>
          </w:p>
        </w:tc>
        <w:tc>
          <w:tcPr>
            <w:tcW w:w="583"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一级指标</w:t>
            </w:r>
          </w:p>
        </w:tc>
        <w:tc>
          <w:tcPr>
            <w:tcW w:w="583"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二级指标</w:t>
            </w:r>
          </w:p>
        </w:tc>
        <w:tc>
          <w:tcPr>
            <w:tcW w:w="1306"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三级指标</w:t>
            </w:r>
          </w:p>
        </w:tc>
        <w:tc>
          <w:tcPr>
            <w:tcW w:w="930"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权重</w:t>
            </w:r>
          </w:p>
        </w:tc>
        <w:tc>
          <w:tcPr>
            <w:tcW w:w="930"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目标值</w:t>
            </w:r>
          </w:p>
        </w:tc>
        <w:tc>
          <w:tcPr>
            <w:tcW w:w="929"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业绩值</w:t>
            </w:r>
          </w:p>
        </w:tc>
        <w:tc>
          <w:tcPr>
            <w:tcW w:w="929"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完成率</w:t>
            </w:r>
          </w:p>
        </w:tc>
        <w:tc>
          <w:tcPr>
            <w:tcW w:w="930"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指标得分</w:t>
            </w:r>
          </w:p>
        </w:tc>
        <w:tc>
          <w:tcPr>
            <w:tcW w:w="929"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指标值设定依据</w:t>
            </w:r>
          </w:p>
        </w:tc>
        <w:tc>
          <w:tcPr>
            <w:tcW w:w="930"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上年完成情况</w:t>
            </w:r>
          </w:p>
        </w:tc>
        <w:tc>
          <w:tcPr>
            <w:tcW w:w="1118"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赋分规则</w:t>
            </w:r>
          </w:p>
        </w:tc>
        <w:tc>
          <w:tcPr>
            <w:tcW w:w="993"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佐证资料</w:t>
            </w:r>
          </w:p>
        </w:tc>
        <w:tc>
          <w:tcPr>
            <w:tcW w:w="2306"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偏差原因分析及改进措施</w:t>
            </w:r>
          </w:p>
        </w:tc>
      </w:tr>
      <w:tr>
        <w:tblPrEx>
          <w:shd w:val="clear" w:color="auto" w:fill="auto"/>
          <w:tblLayout w:type="fixed"/>
          <w:tblCellMar>
            <w:top w:w="0" w:type="dxa"/>
            <w:left w:w="0" w:type="dxa"/>
            <w:bottom w:w="0" w:type="dxa"/>
            <w:right w:w="0" w:type="dxa"/>
          </w:tblCellMar>
        </w:tblPrEx>
        <w:trPr>
          <w:trHeight w:val="280" w:hRule="atLeast"/>
        </w:trPr>
        <w:tc>
          <w:tcPr>
            <w:tcW w:w="5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18"/>
                <w:szCs w:val="18"/>
                <w:u w:val="none"/>
              </w:rPr>
            </w:pPr>
          </w:p>
        </w:tc>
        <w:tc>
          <w:tcPr>
            <w:tcW w:w="583"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b/>
                <w:i w:val="0"/>
                <w:color w:val="000000"/>
                <w:sz w:val="18"/>
                <w:szCs w:val="18"/>
                <w:u w:val="none"/>
              </w:rPr>
            </w:pPr>
          </w:p>
        </w:tc>
        <w:tc>
          <w:tcPr>
            <w:tcW w:w="583"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b/>
                <w:i w:val="0"/>
                <w:color w:val="000000"/>
                <w:sz w:val="18"/>
                <w:szCs w:val="18"/>
                <w:u w:val="none"/>
              </w:rPr>
            </w:pPr>
          </w:p>
        </w:tc>
        <w:tc>
          <w:tcPr>
            <w:tcW w:w="1306"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b/>
                <w:i w:val="0"/>
                <w:color w:val="000000"/>
                <w:sz w:val="18"/>
                <w:szCs w:val="18"/>
                <w:u w:val="none"/>
              </w:rPr>
            </w:pPr>
          </w:p>
        </w:tc>
        <w:tc>
          <w:tcPr>
            <w:tcW w:w="93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b/>
                <w:i w:val="0"/>
                <w:color w:val="000000"/>
                <w:sz w:val="18"/>
                <w:szCs w:val="18"/>
                <w:u w:val="none"/>
              </w:rPr>
            </w:pPr>
          </w:p>
        </w:tc>
        <w:tc>
          <w:tcPr>
            <w:tcW w:w="93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b/>
                <w:i w:val="0"/>
                <w:color w:val="000000"/>
                <w:sz w:val="18"/>
                <w:szCs w:val="18"/>
                <w:u w:val="none"/>
              </w:rPr>
            </w:pPr>
          </w:p>
        </w:tc>
        <w:tc>
          <w:tcPr>
            <w:tcW w:w="929"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b/>
                <w:i w:val="0"/>
                <w:color w:val="000000"/>
                <w:sz w:val="18"/>
                <w:szCs w:val="18"/>
                <w:u w:val="none"/>
              </w:rPr>
            </w:pPr>
          </w:p>
        </w:tc>
        <w:tc>
          <w:tcPr>
            <w:tcW w:w="929"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b/>
                <w:i w:val="0"/>
                <w:color w:val="000000"/>
                <w:sz w:val="18"/>
                <w:szCs w:val="18"/>
                <w:u w:val="none"/>
              </w:rPr>
            </w:pPr>
          </w:p>
        </w:tc>
        <w:tc>
          <w:tcPr>
            <w:tcW w:w="93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b/>
                <w:i w:val="0"/>
                <w:color w:val="000000"/>
                <w:sz w:val="18"/>
                <w:szCs w:val="18"/>
                <w:u w:val="none"/>
              </w:rPr>
            </w:pPr>
          </w:p>
        </w:tc>
        <w:tc>
          <w:tcPr>
            <w:tcW w:w="929"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b/>
                <w:i w:val="0"/>
                <w:color w:val="000000"/>
                <w:sz w:val="18"/>
                <w:szCs w:val="18"/>
                <w:u w:val="none"/>
              </w:rPr>
            </w:pPr>
          </w:p>
        </w:tc>
        <w:tc>
          <w:tcPr>
            <w:tcW w:w="93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b/>
                <w:i w:val="0"/>
                <w:color w:val="000000"/>
                <w:sz w:val="18"/>
                <w:szCs w:val="18"/>
                <w:u w:val="none"/>
              </w:rPr>
            </w:pPr>
          </w:p>
        </w:tc>
        <w:tc>
          <w:tcPr>
            <w:tcW w:w="1118"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b/>
                <w:i w:val="0"/>
                <w:color w:val="000000"/>
                <w:sz w:val="18"/>
                <w:szCs w:val="18"/>
                <w:u w:val="none"/>
              </w:rPr>
            </w:pPr>
          </w:p>
        </w:tc>
        <w:tc>
          <w:tcPr>
            <w:tcW w:w="993"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b/>
                <w:i w:val="0"/>
                <w:color w:val="000000"/>
                <w:sz w:val="18"/>
                <w:szCs w:val="18"/>
                <w:u w:val="none"/>
              </w:rPr>
            </w:pPr>
          </w:p>
        </w:tc>
        <w:tc>
          <w:tcPr>
            <w:tcW w:w="2306"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b/>
                <w:i w:val="0"/>
                <w:color w:val="000000"/>
                <w:sz w:val="18"/>
                <w:szCs w:val="18"/>
                <w:u w:val="none"/>
              </w:rPr>
            </w:pPr>
          </w:p>
        </w:tc>
      </w:tr>
      <w:tr>
        <w:tblPrEx>
          <w:tblLayout w:type="fixed"/>
          <w:tblCellMar>
            <w:top w:w="0" w:type="dxa"/>
            <w:left w:w="0" w:type="dxa"/>
            <w:bottom w:w="0" w:type="dxa"/>
            <w:right w:w="0" w:type="dxa"/>
          </w:tblCellMar>
        </w:tblPrEx>
        <w:trPr>
          <w:trHeight w:val="380" w:hRule="atLeast"/>
        </w:trPr>
        <w:tc>
          <w:tcPr>
            <w:tcW w:w="582"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年度绩效指标完成情况</w:t>
            </w:r>
          </w:p>
        </w:tc>
        <w:tc>
          <w:tcPr>
            <w:tcW w:w="583"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产出指标</w:t>
            </w:r>
          </w:p>
        </w:tc>
        <w:tc>
          <w:tcPr>
            <w:tcW w:w="58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数量指标</w:t>
            </w:r>
          </w:p>
        </w:tc>
        <w:tc>
          <w:tcPr>
            <w:tcW w:w="130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出具固定资产鉴证报告</w:t>
            </w: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=1份</w:t>
            </w:r>
          </w:p>
        </w:tc>
        <w:tc>
          <w:tcPr>
            <w:tcW w:w="92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=1份</w:t>
            </w:r>
          </w:p>
        </w:tc>
        <w:tc>
          <w:tcPr>
            <w:tcW w:w="92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92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行业标准</w:t>
            </w: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1118"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按照完成比例赋分</w:t>
            </w:r>
          </w:p>
        </w:tc>
        <w:tc>
          <w:tcPr>
            <w:tcW w:w="99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正式材料</w:t>
            </w:r>
          </w:p>
        </w:tc>
        <w:tc>
          <w:tcPr>
            <w:tcW w:w="230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18"/>
                <w:szCs w:val="18"/>
                <w:u w:val="none"/>
              </w:rPr>
            </w:pPr>
          </w:p>
        </w:tc>
      </w:tr>
      <w:tr>
        <w:tblPrEx>
          <w:tblLayout w:type="fixed"/>
          <w:tblCellMar>
            <w:top w:w="0" w:type="dxa"/>
            <w:left w:w="0" w:type="dxa"/>
            <w:bottom w:w="0" w:type="dxa"/>
            <w:right w:w="0" w:type="dxa"/>
          </w:tblCellMar>
        </w:tblPrEx>
        <w:trPr>
          <w:trHeight w:val="380" w:hRule="atLeast"/>
        </w:trPr>
        <w:tc>
          <w:tcPr>
            <w:tcW w:w="5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b/>
                <w:i w:val="0"/>
                <w:color w:val="000000"/>
                <w:sz w:val="18"/>
                <w:szCs w:val="18"/>
                <w:u w:val="none"/>
              </w:rPr>
            </w:pPr>
          </w:p>
        </w:tc>
        <w:tc>
          <w:tcPr>
            <w:tcW w:w="583"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18"/>
                <w:szCs w:val="18"/>
                <w:u w:val="none"/>
              </w:rPr>
            </w:pPr>
          </w:p>
        </w:tc>
        <w:tc>
          <w:tcPr>
            <w:tcW w:w="58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数量指标</w:t>
            </w:r>
          </w:p>
        </w:tc>
        <w:tc>
          <w:tcPr>
            <w:tcW w:w="130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出具资产清查审计报告</w:t>
            </w: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=1份</w:t>
            </w:r>
          </w:p>
        </w:tc>
        <w:tc>
          <w:tcPr>
            <w:tcW w:w="92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=1份</w:t>
            </w:r>
          </w:p>
        </w:tc>
        <w:tc>
          <w:tcPr>
            <w:tcW w:w="92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92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计划标准</w:t>
            </w: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1118"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按照完成比例赋分</w:t>
            </w:r>
          </w:p>
        </w:tc>
        <w:tc>
          <w:tcPr>
            <w:tcW w:w="99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正式材料</w:t>
            </w:r>
          </w:p>
        </w:tc>
        <w:tc>
          <w:tcPr>
            <w:tcW w:w="230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18"/>
                <w:szCs w:val="18"/>
                <w:u w:val="none"/>
              </w:rPr>
            </w:pPr>
          </w:p>
        </w:tc>
      </w:tr>
      <w:tr>
        <w:tblPrEx>
          <w:tblLayout w:type="fixed"/>
          <w:tblCellMar>
            <w:top w:w="0" w:type="dxa"/>
            <w:left w:w="0" w:type="dxa"/>
            <w:bottom w:w="0" w:type="dxa"/>
            <w:right w:w="0" w:type="dxa"/>
          </w:tblCellMar>
        </w:tblPrEx>
        <w:trPr>
          <w:trHeight w:val="380" w:hRule="atLeast"/>
        </w:trPr>
        <w:tc>
          <w:tcPr>
            <w:tcW w:w="5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b/>
                <w:i w:val="0"/>
                <w:color w:val="000000"/>
                <w:sz w:val="18"/>
                <w:szCs w:val="18"/>
                <w:u w:val="none"/>
              </w:rPr>
            </w:pPr>
          </w:p>
        </w:tc>
        <w:tc>
          <w:tcPr>
            <w:tcW w:w="583"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18"/>
                <w:szCs w:val="18"/>
                <w:u w:val="none"/>
              </w:rPr>
            </w:pPr>
          </w:p>
        </w:tc>
        <w:tc>
          <w:tcPr>
            <w:tcW w:w="58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质量指标</w:t>
            </w:r>
          </w:p>
        </w:tc>
        <w:tc>
          <w:tcPr>
            <w:tcW w:w="130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审计方案的有效性</w:t>
            </w: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&gt;=90%</w:t>
            </w:r>
          </w:p>
        </w:tc>
        <w:tc>
          <w:tcPr>
            <w:tcW w:w="92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=90%</w:t>
            </w:r>
          </w:p>
        </w:tc>
        <w:tc>
          <w:tcPr>
            <w:tcW w:w="92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92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计划标准</w:t>
            </w: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1118"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按照完成比例赋分</w:t>
            </w:r>
          </w:p>
        </w:tc>
        <w:tc>
          <w:tcPr>
            <w:tcW w:w="99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工作资料</w:t>
            </w:r>
          </w:p>
        </w:tc>
        <w:tc>
          <w:tcPr>
            <w:tcW w:w="230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18"/>
                <w:szCs w:val="18"/>
                <w:u w:val="none"/>
              </w:rPr>
            </w:pPr>
          </w:p>
        </w:tc>
      </w:tr>
      <w:tr>
        <w:tblPrEx>
          <w:tblLayout w:type="fixed"/>
          <w:tblCellMar>
            <w:top w:w="0" w:type="dxa"/>
            <w:left w:w="0" w:type="dxa"/>
            <w:bottom w:w="0" w:type="dxa"/>
            <w:right w:w="0" w:type="dxa"/>
          </w:tblCellMar>
        </w:tblPrEx>
        <w:trPr>
          <w:trHeight w:val="380" w:hRule="atLeast"/>
        </w:trPr>
        <w:tc>
          <w:tcPr>
            <w:tcW w:w="5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b/>
                <w:i w:val="0"/>
                <w:color w:val="000000"/>
                <w:sz w:val="18"/>
                <w:szCs w:val="18"/>
                <w:u w:val="none"/>
              </w:rPr>
            </w:pPr>
          </w:p>
        </w:tc>
        <w:tc>
          <w:tcPr>
            <w:tcW w:w="583"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18"/>
                <w:szCs w:val="18"/>
                <w:u w:val="none"/>
              </w:rPr>
            </w:pPr>
          </w:p>
        </w:tc>
        <w:tc>
          <w:tcPr>
            <w:tcW w:w="58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时效指标</w:t>
            </w:r>
          </w:p>
        </w:tc>
        <w:tc>
          <w:tcPr>
            <w:tcW w:w="130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审计报告出具及时性</w:t>
            </w: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&gt;=95%</w:t>
            </w:r>
          </w:p>
        </w:tc>
        <w:tc>
          <w:tcPr>
            <w:tcW w:w="92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=95%</w:t>
            </w:r>
          </w:p>
        </w:tc>
        <w:tc>
          <w:tcPr>
            <w:tcW w:w="92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92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计划标准</w:t>
            </w: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1118"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按照完成比例赋分</w:t>
            </w:r>
          </w:p>
        </w:tc>
        <w:tc>
          <w:tcPr>
            <w:tcW w:w="99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正式材料</w:t>
            </w:r>
          </w:p>
        </w:tc>
        <w:tc>
          <w:tcPr>
            <w:tcW w:w="230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18"/>
                <w:szCs w:val="18"/>
                <w:u w:val="none"/>
              </w:rPr>
            </w:pPr>
          </w:p>
        </w:tc>
      </w:tr>
      <w:tr>
        <w:tblPrEx>
          <w:tblLayout w:type="fixed"/>
          <w:tblCellMar>
            <w:top w:w="0" w:type="dxa"/>
            <w:left w:w="0" w:type="dxa"/>
            <w:bottom w:w="0" w:type="dxa"/>
            <w:right w:w="0" w:type="dxa"/>
          </w:tblCellMar>
        </w:tblPrEx>
        <w:trPr>
          <w:trHeight w:val="380" w:hRule="atLeast"/>
        </w:trPr>
        <w:tc>
          <w:tcPr>
            <w:tcW w:w="5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b/>
                <w:i w:val="0"/>
                <w:color w:val="000000"/>
                <w:sz w:val="18"/>
                <w:szCs w:val="18"/>
                <w:u w:val="none"/>
              </w:rPr>
            </w:pPr>
          </w:p>
        </w:tc>
        <w:tc>
          <w:tcPr>
            <w:tcW w:w="583"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成本指标</w:t>
            </w:r>
          </w:p>
        </w:tc>
        <w:tc>
          <w:tcPr>
            <w:tcW w:w="58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经济成本指标</w:t>
            </w:r>
          </w:p>
        </w:tc>
        <w:tc>
          <w:tcPr>
            <w:tcW w:w="130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固定资产清查审计费</w:t>
            </w: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&lt;=6.20万元</w:t>
            </w:r>
          </w:p>
        </w:tc>
        <w:tc>
          <w:tcPr>
            <w:tcW w:w="92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=6.2万元</w:t>
            </w:r>
          </w:p>
        </w:tc>
        <w:tc>
          <w:tcPr>
            <w:tcW w:w="92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92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预算支出标准</w:t>
            </w: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1118"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按照完成比例赋分</w:t>
            </w:r>
          </w:p>
        </w:tc>
        <w:tc>
          <w:tcPr>
            <w:tcW w:w="99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原始凭证</w:t>
            </w:r>
          </w:p>
        </w:tc>
        <w:tc>
          <w:tcPr>
            <w:tcW w:w="230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18"/>
                <w:szCs w:val="18"/>
                <w:u w:val="none"/>
              </w:rPr>
            </w:pPr>
          </w:p>
        </w:tc>
      </w:tr>
      <w:tr>
        <w:tblPrEx>
          <w:tblLayout w:type="fixed"/>
          <w:tblCellMar>
            <w:top w:w="0" w:type="dxa"/>
            <w:left w:w="0" w:type="dxa"/>
            <w:bottom w:w="0" w:type="dxa"/>
            <w:right w:w="0" w:type="dxa"/>
          </w:tblCellMar>
        </w:tblPrEx>
        <w:trPr>
          <w:trHeight w:val="380" w:hRule="atLeast"/>
        </w:trPr>
        <w:tc>
          <w:tcPr>
            <w:tcW w:w="5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b/>
                <w:i w:val="0"/>
                <w:color w:val="000000"/>
                <w:sz w:val="18"/>
                <w:szCs w:val="18"/>
                <w:u w:val="none"/>
              </w:rPr>
            </w:pPr>
          </w:p>
        </w:tc>
        <w:tc>
          <w:tcPr>
            <w:tcW w:w="583"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18"/>
                <w:szCs w:val="18"/>
                <w:u w:val="none"/>
              </w:rPr>
            </w:pPr>
          </w:p>
        </w:tc>
        <w:tc>
          <w:tcPr>
            <w:tcW w:w="58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经济成本指标</w:t>
            </w:r>
          </w:p>
        </w:tc>
        <w:tc>
          <w:tcPr>
            <w:tcW w:w="130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固定资产鉴证报告审计费</w:t>
            </w: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&lt;=4.20万元</w:t>
            </w:r>
          </w:p>
        </w:tc>
        <w:tc>
          <w:tcPr>
            <w:tcW w:w="92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=4.2万元</w:t>
            </w:r>
          </w:p>
        </w:tc>
        <w:tc>
          <w:tcPr>
            <w:tcW w:w="92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92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预算支出标准</w:t>
            </w: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1118"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按照完成比例赋分</w:t>
            </w:r>
          </w:p>
        </w:tc>
        <w:tc>
          <w:tcPr>
            <w:tcW w:w="99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原始凭证</w:t>
            </w:r>
          </w:p>
        </w:tc>
        <w:tc>
          <w:tcPr>
            <w:tcW w:w="230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18"/>
                <w:szCs w:val="18"/>
                <w:u w:val="none"/>
              </w:rPr>
            </w:pPr>
          </w:p>
        </w:tc>
      </w:tr>
      <w:tr>
        <w:tblPrEx>
          <w:shd w:val="clear" w:color="auto" w:fill="auto"/>
          <w:tblLayout w:type="fixed"/>
          <w:tblCellMar>
            <w:top w:w="0" w:type="dxa"/>
            <w:left w:w="0" w:type="dxa"/>
            <w:bottom w:w="0" w:type="dxa"/>
            <w:right w:w="0" w:type="dxa"/>
          </w:tblCellMar>
        </w:tblPrEx>
        <w:trPr>
          <w:trHeight w:val="380" w:hRule="atLeast"/>
        </w:trPr>
        <w:tc>
          <w:tcPr>
            <w:tcW w:w="5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b/>
                <w:i w:val="0"/>
                <w:color w:val="000000"/>
                <w:sz w:val="18"/>
                <w:szCs w:val="18"/>
                <w:u w:val="none"/>
              </w:rPr>
            </w:pPr>
          </w:p>
        </w:tc>
        <w:tc>
          <w:tcPr>
            <w:tcW w:w="583"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18"/>
                <w:szCs w:val="18"/>
                <w:u w:val="none"/>
              </w:rPr>
            </w:pPr>
          </w:p>
        </w:tc>
        <w:tc>
          <w:tcPr>
            <w:tcW w:w="58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社会成本指标</w:t>
            </w:r>
          </w:p>
        </w:tc>
        <w:tc>
          <w:tcPr>
            <w:tcW w:w="130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18"/>
                <w:szCs w:val="18"/>
                <w:u w:val="none"/>
              </w:rPr>
            </w:pP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18"/>
                <w:szCs w:val="18"/>
                <w:u w:val="none"/>
              </w:rPr>
            </w:pP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18"/>
                <w:szCs w:val="18"/>
                <w:u w:val="none"/>
              </w:rPr>
            </w:pPr>
          </w:p>
        </w:tc>
        <w:tc>
          <w:tcPr>
            <w:tcW w:w="92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18"/>
                <w:szCs w:val="18"/>
                <w:u w:val="none"/>
              </w:rPr>
            </w:pPr>
          </w:p>
        </w:tc>
        <w:tc>
          <w:tcPr>
            <w:tcW w:w="92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18"/>
                <w:szCs w:val="18"/>
                <w:u w:val="none"/>
              </w:rPr>
            </w:pP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18"/>
                <w:szCs w:val="18"/>
                <w:u w:val="none"/>
              </w:rPr>
            </w:pPr>
          </w:p>
        </w:tc>
        <w:tc>
          <w:tcPr>
            <w:tcW w:w="92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18"/>
                <w:szCs w:val="18"/>
                <w:u w:val="none"/>
              </w:rPr>
            </w:pP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18"/>
                <w:szCs w:val="18"/>
                <w:u w:val="none"/>
              </w:rPr>
            </w:pPr>
          </w:p>
        </w:tc>
        <w:tc>
          <w:tcPr>
            <w:tcW w:w="1118"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18"/>
                <w:szCs w:val="18"/>
                <w:u w:val="none"/>
              </w:rPr>
            </w:pPr>
          </w:p>
        </w:tc>
        <w:tc>
          <w:tcPr>
            <w:tcW w:w="99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18"/>
                <w:szCs w:val="18"/>
                <w:u w:val="none"/>
              </w:rPr>
            </w:pPr>
          </w:p>
        </w:tc>
        <w:tc>
          <w:tcPr>
            <w:tcW w:w="230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18"/>
                <w:szCs w:val="18"/>
                <w:u w:val="none"/>
              </w:rPr>
            </w:pPr>
          </w:p>
        </w:tc>
      </w:tr>
      <w:tr>
        <w:tblPrEx>
          <w:shd w:val="clear" w:color="auto" w:fill="auto"/>
          <w:tblLayout w:type="fixed"/>
          <w:tblCellMar>
            <w:top w:w="0" w:type="dxa"/>
            <w:left w:w="0" w:type="dxa"/>
            <w:bottom w:w="0" w:type="dxa"/>
            <w:right w:w="0" w:type="dxa"/>
          </w:tblCellMar>
        </w:tblPrEx>
        <w:trPr>
          <w:trHeight w:val="380" w:hRule="atLeast"/>
        </w:trPr>
        <w:tc>
          <w:tcPr>
            <w:tcW w:w="5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b/>
                <w:i w:val="0"/>
                <w:color w:val="000000"/>
                <w:sz w:val="18"/>
                <w:szCs w:val="18"/>
                <w:u w:val="none"/>
              </w:rPr>
            </w:pPr>
          </w:p>
        </w:tc>
        <w:tc>
          <w:tcPr>
            <w:tcW w:w="583"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18"/>
                <w:szCs w:val="18"/>
                <w:u w:val="none"/>
              </w:rPr>
            </w:pPr>
          </w:p>
        </w:tc>
        <w:tc>
          <w:tcPr>
            <w:tcW w:w="58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生态环境成本指标</w:t>
            </w:r>
          </w:p>
        </w:tc>
        <w:tc>
          <w:tcPr>
            <w:tcW w:w="130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18"/>
                <w:szCs w:val="18"/>
                <w:u w:val="none"/>
              </w:rPr>
            </w:pP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18"/>
                <w:szCs w:val="18"/>
                <w:u w:val="none"/>
              </w:rPr>
            </w:pP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18"/>
                <w:szCs w:val="18"/>
                <w:u w:val="none"/>
              </w:rPr>
            </w:pPr>
          </w:p>
        </w:tc>
        <w:tc>
          <w:tcPr>
            <w:tcW w:w="92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18"/>
                <w:szCs w:val="18"/>
                <w:u w:val="none"/>
              </w:rPr>
            </w:pPr>
          </w:p>
        </w:tc>
        <w:tc>
          <w:tcPr>
            <w:tcW w:w="92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18"/>
                <w:szCs w:val="18"/>
                <w:u w:val="none"/>
              </w:rPr>
            </w:pP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18"/>
                <w:szCs w:val="18"/>
                <w:u w:val="none"/>
              </w:rPr>
            </w:pPr>
          </w:p>
        </w:tc>
        <w:tc>
          <w:tcPr>
            <w:tcW w:w="92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18"/>
                <w:szCs w:val="18"/>
                <w:u w:val="none"/>
              </w:rPr>
            </w:pP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18"/>
                <w:szCs w:val="18"/>
                <w:u w:val="none"/>
              </w:rPr>
            </w:pPr>
          </w:p>
        </w:tc>
        <w:tc>
          <w:tcPr>
            <w:tcW w:w="1118"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18"/>
                <w:szCs w:val="18"/>
                <w:u w:val="none"/>
              </w:rPr>
            </w:pPr>
          </w:p>
        </w:tc>
        <w:tc>
          <w:tcPr>
            <w:tcW w:w="99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18"/>
                <w:szCs w:val="18"/>
                <w:u w:val="none"/>
              </w:rPr>
            </w:pPr>
          </w:p>
        </w:tc>
        <w:tc>
          <w:tcPr>
            <w:tcW w:w="230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18"/>
                <w:szCs w:val="18"/>
                <w:u w:val="none"/>
              </w:rPr>
            </w:pPr>
          </w:p>
        </w:tc>
      </w:tr>
      <w:tr>
        <w:tblPrEx>
          <w:shd w:val="clear" w:color="auto" w:fill="auto"/>
          <w:tblLayout w:type="fixed"/>
          <w:tblCellMar>
            <w:top w:w="0" w:type="dxa"/>
            <w:left w:w="0" w:type="dxa"/>
            <w:bottom w:w="0" w:type="dxa"/>
            <w:right w:w="0" w:type="dxa"/>
          </w:tblCellMar>
        </w:tblPrEx>
        <w:trPr>
          <w:trHeight w:val="380" w:hRule="atLeast"/>
        </w:trPr>
        <w:tc>
          <w:tcPr>
            <w:tcW w:w="5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b/>
                <w:i w:val="0"/>
                <w:color w:val="000000"/>
                <w:sz w:val="18"/>
                <w:szCs w:val="18"/>
                <w:u w:val="none"/>
              </w:rPr>
            </w:pPr>
          </w:p>
        </w:tc>
        <w:tc>
          <w:tcPr>
            <w:tcW w:w="583"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效益指标</w:t>
            </w:r>
          </w:p>
        </w:tc>
        <w:tc>
          <w:tcPr>
            <w:tcW w:w="58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经济效益指标</w:t>
            </w:r>
          </w:p>
        </w:tc>
        <w:tc>
          <w:tcPr>
            <w:tcW w:w="130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保障国有资产完整性</w:t>
            </w: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30</w:t>
            </w: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有效保障</w:t>
            </w:r>
          </w:p>
        </w:tc>
        <w:tc>
          <w:tcPr>
            <w:tcW w:w="92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有效保障</w:t>
            </w:r>
          </w:p>
        </w:tc>
        <w:tc>
          <w:tcPr>
            <w:tcW w:w="92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30</w:t>
            </w:r>
          </w:p>
        </w:tc>
        <w:tc>
          <w:tcPr>
            <w:tcW w:w="92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计划标准</w:t>
            </w: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1118"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按评判等级赋分</w:t>
            </w:r>
          </w:p>
        </w:tc>
        <w:tc>
          <w:tcPr>
            <w:tcW w:w="99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工作资料</w:t>
            </w:r>
          </w:p>
        </w:tc>
        <w:tc>
          <w:tcPr>
            <w:tcW w:w="230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18"/>
                <w:szCs w:val="18"/>
                <w:u w:val="none"/>
              </w:rPr>
            </w:pPr>
          </w:p>
        </w:tc>
      </w:tr>
      <w:tr>
        <w:tblPrEx>
          <w:shd w:val="clear" w:color="auto" w:fill="auto"/>
          <w:tblLayout w:type="fixed"/>
          <w:tblCellMar>
            <w:top w:w="0" w:type="dxa"/>
            <w:left w:w="0" w:type="dxa"/>
            <w:bottom w:w="0" w:type="dxa"/>
            <w:right w:w="0" w:type="dxa"/>
          </w:tblCellMar>
        </w:tblPrEx>
        <w:trPr>
          <w:trHeight w:val="380" w:hRule="atLeast"/>
        </w:trPr>
        <w:tc>
          <w:tcPr>
            <w:tcW w:w="5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b/>
                <w:i w:val="0"/>
                <w:color w:val="000000"/>
                <w:sz w:val="18"/>
                <w:szCs w:val="18"/>
                <w:u w:val="none"/>
              </w:rPr>
            </w:pPr>
          </w:p>
        </w:tc>
        <w:tc>
          <w:tcPr>
            <w:tcW w:w="583"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18"/>
                <w:szCs w:val="18"/>
                <w:u w:val="none"/>
              </w:rPr>
            </w:pPr>
          </w:p>
        </w:tc>
        <w:tc>
          <w:tcPr>
            <w:tcW w:w="58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社会效益指标</w:t>
            </w:r>
          </w:p>
        </w:tc>
        <w:tc>
          <w:tcPr>
            <w:tcW w:w="130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18"/>
                <w:szCs w:val="18"/>
                <w:u w:val="none"/>
              </w:rPr>
            </w:pP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18"/>
                <w:szCs w:val="18"/>
                <w:u w:val="none"/>
              </w:rPr>
            </w:pP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18"/>
                <w:szCs w:val="18"/>
                <w:u w:val="none"/>
              </w:rPr>
            </w:pPr>
          </w:p>
        </w:tc>
        <w:tc>
          <w:tcPr>
            <w:tcW w:w="92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18"/>
                <w:szCs w:val="18"/>
                <w:u w:val="none"/>
              </w:rPr>
            </w:pPr>
          </w:p>
        </w:tc>
        <w:tc>
          <w:tcPr>
            <w:tcW w:w="92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18"/>
                <w:szCs w:val="18"/>
                <w:u w:val="none"/>
              </w:rPr>
            </w:pP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18"/>
                <w:szCs w:val="18"/>
                <w:u w:val="none"/>
              </w:rPr>
            </w:pPr>
          </w:p>
        </w:tc>
        <w:tc>
          <w:tcPr>
            <w:tcW w:w="92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18"/>
                <w:szCs w:val="18"/>
                <w:u w:val="none"/>
              </w:rPr>
            </w:pP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18"/>
                <w:szCs w:val="18"/>
                <w:u w:val="none"/>
              </w:rPr>
            </w:pPr>
          </w:p>
        </w:tc>
        <w:tc>
          <w:tcPr>
            <w:tcW w:w="1118"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18"/>
                <w:szCs w:val="18"/>
                <w:u w:val="none"/>
              </w:rPr>
            </w:pPr>
          </w:p>
        </w:tc>
        <w:tc>
          <w:tcPr>
            <w:tcW w:w="99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18"/>
                <w:szCs w:val="18"/>
                <w:u w:val="none"/>
              </w:rPr>
            </w:pPr>
          </w:p>
        </w:tc>
        <w:tc>
          <w:tcPr>
            <w:tcW w:w="230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18"/>
                <w:szCs w:val="18"/>
                <w:u w:val="none"/>
              </w:rPr>
            </w:pPr>
          </w:p>
        </w:tc>
      </w:tr>
      <w:tr>
        <w:tblPrEx>
          <w:tblLayout w:type="fixed"/>
          <w:tblCellMar>
            <w:top w:w="0" w:type="dxa"/>
            <w:left w:w="0" w:type="dxa"/>
            <w:bottom w:w="0" w:type="dxa"/>
            <w:right w:w="0" w:type="dxa"/>
          </w:tblCellMar>
        </w:tblPrEx>
        <w:trPr>
          <w:trHeight w:val="380" w:hRule="atLeast"/>
        </w:trPr>
        <w:tc>
          <w:tcPr>
            <w:tcW w:w="5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b/>
                <w:i w:val="0"/>
                <w:color w:val="000000"/>
                <w:sz w:val="18"/>
                <w:szCs w:val="18"/>
                <w:u w:val="none"/>
              </w:rPr>
            </w:pPr>
          </w:p>
        </w:tc>
        <w:tc>
          <w:tcPr>
            <w:tcW w:w="583"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18"/>
                <w:szCs w:val="18"/>
                <w:u w:val="none"/>
              </w:rPr>
            </w:pPr>
          </w:p>
        </w:tc>
        <w:tc>
          <w:tcPr>
            <w:tcW w:w="58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生态效益指标</w:t>
            </w:r>
          </w:p>
        </w:tc>
        <w:tc>
          <w:tcPr>
            <w:tcW w:w="130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18"/>
                <w:szCs w:val="18"/>
                <w:u w:val="none"/>
              </w:rPr>
            </w:pP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18"/>
                <w:szCs w:val="18"/>
                <w:u w:val="none"/>
              </w:rPr>
            </w:pP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18"/>
                <w:szCs w:val="18"/>
                <w:u w:val="none"/>
              </w:rPr>
            </w:pPr>
          </w:p>
        </w:tc>
        <w:tc>
          <w:tcPr>
            <w:tcW w:w="92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18"/>
                <w:szCs w:val="18"/>
                <w:u w:val="none"/>
              </w:rPr>
            </w:pPr>
          </w:p>
        </w:tc>
        <w:tc>
          <w:tcPr>
            <w:tcW w:w="92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18"/>
                <w:szCs w:val="18"/>
                <w:u w:val="none"/>
              </w:rPr>
            </w:pP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18"/>
                <w:szCs w:val="18"/>
                <w:u w:val="none"/>
              </w:rPr>
            </w:pPr>
          </w:p>
        </w:tc>
        <w:tc>
          <w:tcPr>
            <w:tcW w:w="92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18"/>
                <w:szCs w:val="18"/>
                <w:u w:val="none"/>
              </w:rPr>
            </w:pP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18"/>
                <w:szCs w:val="18"/>
                <w:u w:val="none"/>
              </w:rPr>
            </w:pPr>
          </w:p>
        </w:tc>
        <w:tc>
          <w:tcPr>
            <w:tcW w:w="1118"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18"/>
                <w:szCs w:val="18"/>
                <w:u w:val="none"/>
              </w:rPr>
            </w:pPr>
          </w:p>
        </w:tc>
        <w:tc>
          <w:tcPr>
            <w:tcW w:w="99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18"/>
                <w:szCs w:val="18"/>
                <w:u w:val="none"/>
              </w:rPr>
            </w:pPr>
          </w:p>
        </w:tc>
        <w:tc>
          <w:tcPr>
            <w:tcW w:w="230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18"/>
                <w:szCs w:val="18"/>
                <w:u w:val="none"/>
              </w:rPr>
            </w:pPr>
          </w:p>
        </w:tc>
      </w:tr>
      <w:tr>
        <w:tblPrEx>
          <w:shd w:val="clear" w:color="auto" w:fill="auto"/>
          <w:tblLayout w:type="fixed"/>
          <w:tblCellMar>
            <w:top w:w="0" w:type="dxa"/>
            <w:left w:w="0" w:type="dxa"/>
            <w:bottom w:w="0" w:type="dxa"/>
            <w:right w:w="0" w:type="dxa"/>
          </w:tblCellMar>
        </w:tblPrEx>
        <w:trPr>
          <w:trHeight w:val="380" w:hRule="atLeast"/>
        </w:trPr>
        <w:tc>
          <w:tcPr>
            <w:tcW w:w="5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b/>
                <w:i w:val="0"/>
                <w:color w:val="000000"/>
                <w:sz w:val="18"/>
                <w:szCs w:val="18"/>
                <w:u w:val="none"/>
              </w:rPr>
            </w:pPr>
          </w:p>
        </w:tc>
        <w:tc>
          <w:tcPr>
            <w:tcW w:w="58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满意度指标</w:t>
            </w:r>
          </w:p>
        </w:tc>
        <w:tc>
          <w:tcPr>
            <w:tcW w:w="58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满意度指标</w:t>
            </w:r>
          </w:p>
        </w:tc>
        <w:tc>
          <w:tcPr>
            <w:tcW w:w="130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18"/>
                <w:szCs w:val="18"/>
                <w:u w:val="none"/>
              </w:rPr>
            </w:pP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18"/>
                <w:szCs w:val="18"/>
                <w:u w:val="none"/>
              </w:rPr>
            </w:pP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18"/>
                <w:szCs w:val="18"/>
                <w:u w:val="none"/>
              </w:rPr>
            </w:pPr>
          </w:p>
        </w:tc>
        <w:tc>
          <w:tcPr>
            <w:tcW w:w="92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18"/>
                <w:szCs w:val="18"/>
                <w:u w:val="none"/>
              </w:rPr>
            </w:pPr>
          </w:p>
        </w:tc>
        <w:tc>
          <w:tcPr>
            <w:tcW w:w="92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18"/>
                <w:szCs w:val="18"/>
                <w:u w:val="none"/>
              </w:rPr>
            </w:pP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18"/>
                <w:szCs w:val="18"/>
                <w:u w:val="none"/>
              </w:rPr>
            </w:pPr>
          </w:p>
        </w:tc>
        <w:tc>
          <w:tcPr>
            <w:tcW w:w="92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18"/>
                <w:szCs w:val="18"/>
                <w:u w:val="none"/>
              </w:rPr>
            </w:pP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18"/>
                <w:szCs w:val="18"/>
                <w:u w:val="none"/>
              </w:rPr>
            </w:pPr>
          </w:p>
        </w:tc>
        <w:tc>
          <w:tcPr>
            <w:tcW w:w="1118"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18"/>
                <w:szCs w:val="18"/>
                <w:u w:val="none"/>
              </w:rPr>
            </w:pPr>
          </w:p>
        </w:tc>
        <w:tc>
          <w:tcPr>
            <w:tcW w:w="99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18"/>
                <w:szCs w:val="18"/>
                <w:u w:val="none"/>
              </w:rPr>
            </w:pPr>
          </w:p>
        </w:tc>
        <w:tc>
          <w:tcPr>
            <w:tcW w:w="230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18"/>
                <w:szCs w:val="18"/>
                <w:u w:val="none"/>
              </w:rPr>
            </w:pPr>
          </w:p>
        </w:tc>
      </w:tr>
      <w:tr>
        <w:tblPrEx>
          <w:tblLayout w:type="fixed"/>
          <w:tblCellMar>
            <w:top w:w="0" w:type="dxa"/>
            <w:left w:w="0" w:type="dxa"/>
            <w:bottom w:w="0" w:type="dxa"/>
            <w:right w:w="0" w:type="dxa"/>
          </w:tblCellMar>
        </w:tblPrEx>
        <w:trPr>
          <w:trHeight w:val="380" w:hRule="atLeast"/>
        </w:trPr>
        <w:tc>
          <w:tcPr>
            <w:tcW w:w="3054" w:type="dxa"/>
            <w:gridSpan w:val="4"/>
            <w:tcBorders>
              <w:top w:val="single" w:color="000000" w:sz="4" w:space="0"/>
              <w:left w:val="single" w:color="000000" w:sz="4" w:space="0"/>
              <w:bottom w:val="single" w:color="000000" w:sz="4" w:space="0"/>
              <w:right w:val="nil"/>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总分</w:t>
            </w: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930" w:type="dxa"/>
            <w:tcBorders>
              <w:top w:val="single" w:color="000000" w:sz="4" w:space="0"/>
              <w:left w:val="nil"/>
              <w:bottom w:val="single" w:color="000000" w:sz="4" w:space="0"/>
              <w:right w:val="single" w:color="000000" w:sz="4" w:space="0"/>
            </w:tcBorders>
            <w:shd w:val="clear" w:color="auto" w:fill="auto"/>
            <w:tcMar>
              <w:top w:w="10" w:type="dxa"/>
              <w:left w:w="10" w:type="dxa"/>
              <w:right w:w="10" w:type="dxa"/>
            </w:tcMar>
            <w:vAlign w:val="center"/>
          </w:tcPr>
          <w:p>
            <w:pPr>
              <w:rPr>
                <w:rFonts w:hint="eastAsia" w:ascii="宋体" w:hAnsi="宋体" w:eastAsia="宋体" w:cs="宋体"/>
                <w:b/>
                <w:i w:val="0"/>
                <w:color w:val="000000"/>
                <w:sz w:val="18"/>
                <w:szCs w:val="18"/>
                <w:u w:val="none"/>
              </w:rPr>
            </w:pPr>
          </w:p>
        </w:tc>
        <w:tc>
          <w:tcPr>
            <w:tcW w:w="92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18"/>
                <w:szCs w:val="18"/>
                <w:u w:val="none"/>
              </w:rPr>
            </w:pPr>
          </w:p>
        </w:tc>
        <w:tc>
          <w:tcPr>
            <w:tcW w:w="92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18"/>
                <w:szCs w:val="18"/>
                <w:u w:val="none"/>
              </w:rPr>
            </w:pP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100.00分</w:t>
            </w:r>
          </w:p>
        </w:tc>
        <w:tc>
          <w:tcPr>
            <w:tcW w:w="92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rPr>
                <w:rFonts w:hint="eastAsia" w:ascii="宋体" w:hAnsi="宋体" w:eastAsia="宋体" w:cs="宋体"/>
                <w:i w:val="0"/>
                <w:color w:val="000000"/>
                <w:sz w:val="18"/>
                <w:szCs w:val="18"/>
                <w:u w:val="none"/>
              </w:rPr>
            </w:pP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rPr>
                <w:rFonts w:hint="eastAsia" w:ascii="宋体" w:hAnsi="宋体" w:eastAsia="宋体" w:cs="宋体"/>
                <w:i w:val="0"/>
                <w:color w:val="000000"/>
                <w:sz w:val="18"/>
                <w:szCs w:val="18"/>
                <w:u w:val="none"/>
              </w:rPr>
            </w:pPr>
          </w:p>
        </w:tc>
        <w:tc>
          <w:tcPr>
            <w:tcW w:w="1118"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rPr>
                <w:rFonts w:hint="eastAsia" w:ascii="宋体" w:hAnsi="宋体" w:eastAsia="宋体" w:cs="宋体"/>
                <w:i w:val="0"/>
                <w:color w:val="000000"/>
                <w:sz w:val="18"/>
                <w:szCs w:val="18"/>
                <w:u w:val="none"/>
              </w:rPr>
            </w:pPr>
          </w:p>
        </w:tc>
        <w:tc>
          <w:tcPr>
            <w:tcW w:w="99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rPr>
                <w:rFonts w:hint="eastAsia" w:ascii="宋体" w:hAnsi="宋体" w:eastAsia="宋体" w:cs="宋体"/>
                <w:i w:val="0"/>
                <w:color w:val="000000"/>
                <w:sz w:val="18"/>
                <w:szCs w:val="18"/>
                <w:u w:val="none"/>
              </w:rPr>
            </w:pPr>
          </w:p>
        </w:tc>
        <w:tc>
          <w:tcPr>
            <w:tcW w:w="230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rPr>
                <w:rFonts w:hint="eastAsia" w:ascii="宋体" w:hAnsi="宋体" w:eastAsia="宋体" w:cs="宋体"/>
                <w:i w:val="0"/>
                <w:color w:val="000000"/>
                <w:sz w:val="18"/>
                <w:szCs w:val="18"/>
                <w:u w:val="none"/>
              </w:rPr>
            </w:pPr>
          </w:p>
        </w:tc>
      </w:tr>
    </w:tbl>
    <w:p>
      <w:pPr>
        <w:rPr>
          <w:rFonts w:hint="default" w:ascii="Times New Roman" w:hAnsi="Times New Roman" w:cs="Times New Roman"/>
          <w:color w:val="auto"/>
        </w:rPr>
      </w:pPr>
    </w:p>
    <w:sectPr>
      <w:pgSz w:w="16838" w:h="11906" w:orient="landscape"/>
      <w:pgMar w:top="960" w:right="1440" w:bottom="1558"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方正小标宋简体">
    <w:panose1 w:val="03000509000000000000"/>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方正仿宋_GBK">
    <w:altName w:val="微软雅黑"/>
    <w:panose1 w:val="02000000000000000000"/>
    <w:charset w:val="86"/>
    <w:family w:val="auto"/>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7468962"/>
    </w:sdtPr>
    <w:sdtContent>
      <w:p>
        <w:pPr>
          <w:pStyle w:val="13"/>
          <w:jc w:val="center"/>
        </w:pPr>
        <w:r>
          <w:fldChar w:fldCharType="begin"/>
        </w:r>
        <w:r>
          <w:instrText xml:space="preserve">PAGE   \* MERGEFORMAT</w:instrText>
        </w:r>
        <w:r>
          <w:fldChar w:fldCharType="separate"/>
        </w:r>
        <w:r>
          <w:rPr>
            <w:lang w:val="zh-CN"/>
          </w:rPr>
          <w:t>13</w:t>
        </w:r>
        <w:r>
          <w:fldChar w:fldCharType="end"/>
        </w:r>
      </w:p>
    </w:sdtContent>
  </w:sdt>
  <w:p>
    <w:pPr>
      <w:pStyle w:val="13"/>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3AF9B87"/>
    <w:multiLevelType w:val="singleLevel"/>
    <w:tmpl w:val="83AF9B87"/>
    <w:lvl w:ilvl="0" w:tentative="0">
      <w:start w:val="1"/>
      <w:numFmt w:val="decimal"/>
      <w:pStyle w:val="11"/>
      <w:lvlText w:val="%1."/>
      <w:lvlJc w:val="left"/>
      <w:pPr>
        <w:tabs>
          <w:tab w:val="left" w:pos="2040"/>
        </w:tabs>
        <w:ind w:left="2040" w:hanging="360"/>
      </w:pPr>
    </w:lvl>
  </w:abstractNum>
  <w:abstractNum w:abstractNumId="1">
    <w:nsid w:val="F4CD2B0F"/>
    <w:multiLevelType w:val="singleLevel"/>
    <w:tmpl w:val="F4CD2B0F"/>
    <w:lvl w:ilvl="0" w:tentative="0">
      <w:start w:val="1"/>
      <w:numFmt w:val="decimal"/>
      <w:suff w:val="nothing"/>
      <w:lvlText w:val="（%1）"/>
      <w:lvlJc w:val="left"/>
    </w:lvl>
  </w:abstractNum>
  <w:abstractNum w:abstractNumId="2">
    <w:nsid w:val="FF9379A8"/>
    <w:multiLevelType w:val="singleLevel"/>
    <w:tmpl w:val="FF9379A8"/>
    <w:lvl w:ilvl="0" w:tentative="0">
      <w:start w:val="2"/>
      <w:numFmt w:val="chineseCounting"/>
      <w:suff w:val="nothing"/>
      <w:lvlText w:val="（%1）"/>
      <w:lvlJc w:val="left"/>
      <w:rPr>
        <w:rFonts w:hint="eastAsia"/>
      </w:rPr>
    </w:lvl>
  </w:abstractNum>
  <w:abstractNum w:abstractNumId="3">
    <w:nsid w:val="116B29BF"/>
    <w:multiLevelType w:val="singleLevel"/>
    <w:tmpl w:val="116B29BF"/>
    <w:lvl w:ilvl="0" w:tentative="0">
      <w:start w:val="3"/>
      <w:numFmt w:val="chineseCounting"/>
      <w:suff w:val="nothing"/>
      <w:lvlText w:val="%1、"/>
      <w:lvlJc w:val="left"/>
      <w:rPr>
        <w:rFonts w:hint="eastAsia"/>
      </w:rPr>
    </w:lvl>
  </w:abstractNum>
  <w:abstractNum w:abstractNumId="4">
    <w:nsid w:val="27813159"/>
    <w:multiLevelType w:val="singleLevel"/>
    <w:tmpl w:val="27813159"/>
    <w:lvl w:ilvl="0" w:tentative="0">
      <w:start w:val="3"/>
      <w:numFmt w:val="chineseCounting"/>
      <w:suff w:val="nothing"/>
      <w:lvlText w:val="（%1）"/>
      <w:lvlJc w:val="left"/>
      <w:rPr>
        <w:rFonts w:hint="eastAsia"/>
      </w:rPr>
    </w:lvl>
  </w:abstractNum>
  <w:abstractNum w:abstractNumId="5">
    <w:nsid w:val="6FAA0AB1"/>
    <w:multiLevelType w:val="singleLevel"/>
    <w:tmpl w:val="6FAA0AB1"/>
    <w:lvl w:ilvl="0" w:tentative="0">
      <w:start w:val="2"/>
      <w:numFmt w:val="chineseCounting"/>
      <w:suff w:val="nothing"/>
      <w:lvlText w:val="（%1）"/>
      <w:lvlJc w:val="left"/>
      <w:rPr>
        <w:rFonts w:hint="eastAsia"/>
      </w:rPr>
    </w:lvl>
  </w:abstractNum>
  <w:num w:numId="1">
    <w:abstractNumId w:val="0"/>
  </w:num>
  <w:num w:numId="2">
    <w:abstractNumId w:val="1"/>
  </w:num>
  <w:num w:numId="3">
    <w:abstractNumId w:val="4"/>
  </w:num>
  <w:num w:numId="4">
    <w:abstractNumId w:val="3"/>
  </w:num>
  <w:num w:numId="5">
    <w:abstractNumId w:val="5"/>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diOGM5NzlhN2JhOTc3OTljZTBmY2FhN2MzNTk3ODEifQ=="/>
  </w:docVars>
  <w:rsids>
    <w:rsidRoot w:val="FF6C4049"/>
    <w:rsid w:val="006F7242"/>
    <w:rsid w:val="007B168A"/>
    <w:rsid w:val="008B2CFE"/>
    <w:rsid w:val="00F26FF6"/>
    <w:rsid w:val="01610122"/>
    <w:rsid w:val="02510197"/>
    <w:rsid w:val="03EC461B"/>
    <w:rsid w:val="07397B77"/>
    <w:rsid w:val="077071DA"/>
    <w:rsid w:val="09515441"/>
    <w:rsid w:val="09F647A7"/>
    <w:rsid w:val="0AD007F3"/>
    <w:rsid w:val="0E3C619F"/>
    <w:rsid w:val="11170296"/>
    <w:rsid w:val="13471461"/>
    <w:rsid w:val="13B90F01"/>
    <w:rsid w:val="14726CD9"/>
    <w:rsid w:val="155E4C4D"/>
    <w:rsid w:val="17462648"/>
    <w:rsid w:val="181066D2"/>
    <w:rsid w:val="19BC65B6"/>
    <w:rsid w:val="1BAB36EC"/>
    <w:rsid w:val="1C671E73"/>
    <w:rsid w:val="1D1125A5"/>
    <w:rsid w:val="1D322C47"/>
    <w:rsid w:val="23616034"/>
    <w:rsid w:val="23D4607E"/>
    <w:rsid w:val="24480FA2"/>
    <w:rsid w:val="25227A45"/>
    <w:rsid w:val="26AC3A6A"/>
    <w:rsid w:val="281178FD"/>
    <w:rsid w:val="2B9D7E25"/>
    <w:rsid w:val="2C7C7A3B"/>
    <w:rsid w:val="2EFC0D68"/>
    <w:rsid w:val="2F364819"/>
    <w:rsid w:val="2FD63906"/>
    <w:rsid w:val="37215DAE"/>
    <w:rsid w:val="38CA40DD"/>
    <w:rsid w:val="395F2B56"/>
    <w:rsid w:val="3BBA0580"/>
    <w:rsid w:val="3BECE841"/>
    <w:rsid w:val="3CDE204C"/>
    <w:rsid w:val="3D363C36"/>
    <w:rsid w:val="3E9C3F6D"/>
    <w:rsid w:val="3FF7797D"/>
    <w:rsid w:val="46690BD8"/>
    <w:rsid w:val="469869D5"/>
    <w:rsid w:val="49F70BF1"/>
    <w:rsid w:val="4B4340EE"/>
    <w:rsid w:val="4BF06537"/>
    <w:rsid w:val="503D507A"/>
    <w:rsid w:val="50860A7D"/>
    <w:rsid w:val="51FA74D0"/>
    <w:rsid w:val="52AA4A52"/>
    <w:rsid w:val="53813ED8"/>
    <w:rsid w:val="59943D66"/>
    <w:rsid w:val="59E051FD"/>
    <w:rsid w:val="59E6355E"/>
    <w:rsid w:val="5B821531"/>
    <w:rsid w:val="5BFF6039"/>
    <w:rsid w:val="5D76A616"/>
    <w:rsid w:val="5D7F20B9"/>
    <w:rsid w:val="5DAC7D0E"/>
    <w:rsid w:val="5F98B5AF"/>
    <w:rsid w:val="5FFE8511"/>
    <w:rsid w:val="5FFEACE2"/>
    <w:rsid w:val="609D5BF6"/>
    <w:rsid w:val="61073070"/>
    <w:rsid w:val="61B9080E"/>
    <w:rsid w:val="61DF3FED"/>
    <w:rsid w:val="642B176B"/>
    <w:rsid w:val="643EE26D"/>
    <w:rsid w:val="656019A0"/>
    <w:rsid w:val="659975DB"/>
    <w:rsid w:val="65F242EE"/>
    <w:rsid w:val="666D7E19"/>
    <w:rsid w:val="68376930"/>
    <w:rsid w:val="68F91E38"/>
    <w:rsid w:val="69767E03"/>
    <w:rsid w:val="6B3158B9"/>
    <w:rsid w:val="6BA02A3F"/>
    <w:rsid w:val="6C1E5A53"/>
    <w:rsid w:val="6DD20F3C"/>
    <w:rsid w:val="6F5C41AC"/>
    <w:rsid w:val="6FAF6C78"/>
    <w:rsid w:val="716167CC"/>
    <w:rsid w:val="718A7AD1"/>
    <w:rsid w:val="72A44BC2"/>
    <w:rsid w:val="7317C656"/>
    <w:rsid w:val="734ED73F"/>
    <w:rsid w:val="73C82B32"/>
    <w:rsid w:val="73F94DAE"/>
    <w:rsid w:val="74220495"/>
    <w:rsid w:val="747D1B6F"/>
    <w:rsid w:val="749E5641"/>
    <w:rsid w:val="76271066"/>
    <w:rsid w:val="776FF713"/>
    <w:rsid w:val="77FD8BE9"/>
    <w:rsid w:val="78000AED"/>
    <w:rsid w:val="78604118"/>
    <w:rsid w:val="79A9BD3F"/>
    <w:rsid w:val="7B776F12"/>
    <w:rsid w:val="7BFFFDD0"/>
    <w:rsid w:val="7C336E5F"/>
    <w:rsid w:val="7C8D4919"/>
    <w:rsid w:val="7D7A5F86"/>
    <w:rsid w:val="7E4B683A"/>
    <w:rsid w:val="7E5E656D"/>
    <w:rsid w:val="7E8F2BCB"/>
    <w:rsid w:val="7F37BB4E"/>
    <w:rsid w:val="7FEF918E"/>
    <w:rsid w:val="7FF4FB6F"/>
    <w:rsid w:val="7FF7FF27"/>
    <w:rsid w:val="7FFDF714"/>
    <w:rsid w:val="AF3FCD8C"/>
    <w:rsid w:val="B9FA2A43"/>
    <w:rsid w:val="BF7BA1E4"/>
    <w:rsid w:val="BFDF04FA"/>
    <w:rsid w:val="BFE227EF"/>
    <w:rsid w:val="CF2A1ABD"/>
    <w:rsid w:val="DA7D3CD9"/>
    <w:rsid w:val="DBDC0ADA"/>
    <w:rsid w:val="DEDE2B06"/>
    <w:rsid w:val="E7773746"/>
    <w:rsid w:val="EBFA31C2"/>
    <w:rsid w:val="F3F4A11B"/>
    <w:rsid w:val="F9FD7907"/>
    <w:rsid w:val="FAEF933D"/>
    <w:rsid w:val="FB3A4A6A"/>
    <w:rsid w:val="FF6C4049"/>
    <w:rsid w:val="FF78F63F"/>
    <w:rsid w:val="FF8D20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9"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qFormat="1"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3"/>
    <w:basedOn w:val="1"/>
    <w:next w:val="1"/>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character" w:default="1" w:styleId="17">
    <w:name w:val="Default Paragraph Font"/>
    <w:semiHidden/>
    <w:unhideWhenUsed/>
    <w:qFormat/>
    <w:uiPriority w:val="1"/>
  </w:style>
  <w:style w:type="table" w:default="1" w:styleId="20">
    <w:name w:val="Normal Table"/>
    <w:semiHidden/>
    <w:unhideWhenUsed/>
    <w:qFormat/>
    <w:uiPriority w:val="99"/>
    <w:tblPr>
      <w:tblLayout w:type="fixed"/>
      <w:tblCellMar>
        <w:top w:w="0" w:type="dxa"/>
        <w:left w:w="108" w:type="dxa"/>
        <w:bottom w:w="0" w:type="dxa"/>
        <w:right w:w="108" w:type="dxa"/>
      </w:tblCellMar>
    </w:tblPr>
  </w:style>
  <w:style w:type="paragraph" w:customStyle="1" w:styleId="2">
    <w:name w:val="无间隔1"/>
    <w:next w:val="1"/>
    <w:qFormat/>
    <w:uiPriority w:val="99"/>
    <w:pPr>
      <w:widowControl w:val="0"/>
      <w:jc w:val="both"/>
    </w:pPr>
    <w:rPr>
      <w:rFonts w:ascii="Calibri" w:hAnsi="Calibri" w:eastAsia="宋体" w:cs="Times New Roman"/>
      <w:kern w:val="2"/>
      <w:sz w:val="21"/>
      <w:szCs w:val="21"/>
      <w:lang w:val="en-US" w:eastAsia="zh-CN" w:bidi="ar-SA"/>
    </w:rPr>
  </w:style>
  <w:style w:type="paragraph" w:styleId="4">
    <w:name w:val="annotation subject"/>
    <w:basedOn w:val="5"/>
    <w:next w:val="5"/>
    <w:link w:val="26"/>
    <w:qFormat/>
    <w:uiPriority w:val="0"/>
    <w:rPr>
      <w:b/>
      <w:bCs/>
    </w:rPr>
  </w:style>
  <w:style w:type="paragraph" w:styleId="5">
    <w:name w:val="annotation text"/>
    <w:basedOn w:val="1"/>
    <w:link w:val="25"/>
    <w:qFormat/>
    <w:uiPriority w:val="0"/>
    <w:pPr>
      <w:jc w:val="left"/>
    </w:pPr>
  </w:style>
  <w:style w:type="paragraph" w:styleId="6">
    <w:name w:val="Body Text First Indent"/>
    <w:basedOn w:val="7"/>
    <w:qFormat/>
    <w:uiPriority w:val="0"/>
    <w:pPr>
      <w:spacing w:after="0"/>
      <w:ind w:firstLine="200" w:firstLineChars="200"/>
    </w:pPr>
  </w:style>
  <w:style w:type="paragraph" w:styleId="7">
    <w:name w:val="Body Text"/>
    <w:basedOn w:val="1"/>
    <w:qFormat/>
    <w:uiPriority w:val="0"/>
    <w:pPr>
      <w:spacing w:after="120"/>
    </w:pPr>
  </w:style>
  <w:style w:type="paragraph" w:styleId="8">
    <w:name w:val="Body Text Indent"/>
    <w:basedOn w:val="1"/>
    <w:next w:val="9"/>
    <w:qFormat/>
    <w:uiPriority w:val="0"/>
    <w:pPr>
      <w:spacing w:after="120"/>
      <w:ind w:left="420" w:leftChars="200"/>
    </w:pPr>
    <w:rPr>
      <w:rFonts w:ascii="Calibri" w:hAnsi="Calibri"/>
    </w:rPr>
  </w:style>
  <w:style w:type="paragraph" w:styleId="9">
    <w:name w:val="Body Text First Indent 2"/>
    <w:basedOn w:val="8"/>
    <w:next w:val="10"/>
    <w:qFormat/>
    <w:uiPriority w:val="0"/>
    <w:pPr>
      <w:ind w:firstLine="420" w:firstLineChars="200"/>
    </w:pPr>
  </w:style>
  <w:style w:type="paragraph" w:styleId="10">
    <w:name w:val="Plain Text"/>
    <w:basedOn w:val="1"/>
    <w:next w:val="11"/>
    <w:qFormat/>
    <w:uiPriority w:val="0"/>
    <w:rPr>
      <w:rFonts w:ascii="宋体" w:hAnsi="Courier New" w:eastAsia="宋体"/>
      <w:sz w:val="28"/>
      <w:szCs w:val="20"/>
    </w:rPr>
  </w:style>
  <w:style w:type="paragraph" w:styleId="11">
    <w:name w:val="List Number 5"/>
    <w:basedOn w:val="1"/>
    <w:qFormat/>
    <w:uiPriority w:val="0"/>
    <w:pPr>
      <w:numPr>
        <w:ilvl w:val="0"/>
        <w:numId w:val="1"/>
      </w:numPr>
    </w:pPr>
  </w:style>
  <w:style w:type="paragraph" w:styleId="12">
    <w:name w:val="Balloon Text"/>
    <w:basedOn w:val="1"/>
    <w:link w:val="23"/>
    <w:qFormat/>
    <w:uiPriority w:val="0"/>
    <w:rPr>
      <w:sz w:val="18"/>
      <w:szCs w:val="18"/>
    </w:rPr>
  </w:style>
  <w:style w:type="paragraph" w:styleId="13">
    <w:name w:val="footer"/>
    <w:basedOn w:val="1"/>
    <w:unhideWhenUsed/>
    <w:qFormat/>
    <w:uiPriority w:val="99"/>
    <w:pPr>
      <w:tabs>
        <w:tab w:val="center" w:pos="4153"/>
        <w:tab w:val="right" w:pos="8306"/>
      </w:tabs>
      <w:snapToGrid w:val="0"/>
      <w:jc w:val="left"/>
    </w:pPr>
    <w:rPr>
      <w:rFonts w:ascii="Calibri" w:hAnsi="Calibri"/>
      <w:sz w:val="18"/>
      <w:szCs w:val="18"/>
    </w:rPr>
  </w:style>
  <w:style w:type="paragraph" w:styleId="14">
    <w:name w:val="header"/>
    <w:basedOn w:val="1"/>
    <w:link w:val="24"/>
    <w:qFormat/>
    <w:uiPriority w:val="0"/>
    <w:pPr>
      <w:pBdr>
        <w:bottom w:val="single" w:color="auto" w:sz="6" w:space="1"/>
      </w:pBdr>
      <w:tabs>
        <w:tab w:val="center" w:pos="4153"/>
        <w:tab w:val="right" w:pos="8306"/>
      </w:tabs>
      <w:snapToGrid w:val="0"/>
      <w:jc w:val="center"/>
    </w:pPr>
    <w:rPr>
      <w:sz w:val="18"/>
      <w:szCs w:val="18"/>
    </w:rPr>
  </w:style>
  <w:style w:type="paragraph" w:styleId="15">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6">
    <w:name w:val="Title"/>
    <w:basedOn w:val="1"/>
    <w:next w:val="1"/>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annotation reference"/>
    <w:basedOn w:val="17"/>
    <w:qFormat/>
    <w:uiPriority w:val="0"/>
    <w:rPr>
      <w:sz w:val="21"/>
      <w:szCs w:val="21"/>
    </w:rPr>
  </w:style>
  <w:style w:type="character" w:customStyle="1" w:styleId="21">
    <w:name w:val="fontstyle01"/>
    <w:qFormat/>
    <w:uiPriority w:val="0"/>
    <w:rPr>
      <w:rFonts w:ascii="仿宋_GB2312" w:hAnsi="仿宋_GB2312" w:eastAsia="仿宋_GB2312" w:cs="仿宋_GB2312"/>
      <w:color w:val="000000"/>
      <w:sz w:val="32"/>
      <w:szCs w:val="32"/>
    </w:rPr>
  </w:style>
  <w:style w:type="paragraph" w:customStyle="1" w:styleId="22">
    <w:name w:val="闻政-正文段落文字"/>
    <w:basedOn w:val="1"/>
    <w:qFormat/>
    <w:uiPriority w:val="3"/>
    <w:pPr>
      <w:spacing w:line="500" w:lineRule="exact"/>
      <w:ind w:firstLine="200"/>
    </w:pPr>
    <w:rPr>
      <w:kern w:val="0"/>
      <w:szCs w:val="28"/>
    </w:rPr>
  </w:style>
  <w:style w:type="character" w:customStyle="1" w:styleId="23">
    <w:name w:val="批注框文本 字符"/>
    <w:basedOn w:val="17"/>
    <w:link w:val="12"/>
    <w:qFormat/>
    <w:uiPriority w:val="0"/>
    <w:rPr>
      <w:rFonts w:ascii="Times New Roman" w:hAnsi="Times New Roman" w:eastAsia="宋体" w:cs="Times New Roman"/>
      <w:kern w:val="2"/>
      <w:sz w:val="18"/>
      <w:szCs w:val="18"/>
    </w:rPr>
  </w:style>
  <w:style w:type="character" w:customStyle="1" w:styleId="24">
    <w:name w:val="页眉 字符"/>
    <w:basedOn w:val="17"/>
    <w:link w:val="14"/>
    <w:qFormat/>
    <w:uiPriority w:val="0"/>
    <w:rPr>
      <w:rFonts w:ascii="Times New Roman" w:hAnsi="Times New Roman" w:eastAsia="宋体" w:cs="Times New Roman"/>
      <w:kern w:val="2"/>
      <w:sz w:val="18"/>
      <w:szCs w:val="18"/>
    </w:rPr>
  </w:style>
  <w:style w:type="character" w:customStyle="1" w:styleId="25">
    <w:name w:val="批注文字 字符"/>
    <w:basedOn w:val="17"/>
    <w:link w:val="5"/>
    <w:qFormat/>
    <w:uiPriority w:val="0"/>
    <w:rPr>
      <w:rFonts w:ascii="Times New Roman" w:hAnsi="Times New Roman" w:eastAsia="宋体" w:cs="Times New Roman"/>
      <w:kern w:val="2"/>
      <w:sz w:val="21"/>
      <w:szCs w:val="24"/>
    </w:rPr>
  </w:style>
  <w:style w:type="character" w:customStyle="1" w:styleId="26">
    <w:name w:val="批注主题 字符"/>
    <w:basedOn w:val="25"/>
    <w:link w:val="4"/>
    <w:qFormat/>
    <w:uiPriority w:val="0"/>
    <w:rPr>
      <w:rFonts w:ascii="Times New Roman" w:hAnsi="Times New Roman" w:eastAsia="宋体" w:cs="Times New Roman"/>
      <w:b/>
      <w:bCs/>
      <w:kern w:val="2"/>
      <w:sz w:val="21"/>
      <w:szCs w:val="24"/>
    </w:rPr>
  </w:style>
  <w:style w:type="paragraph" w:customStyle="1" w:styleId="27">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26</Pages>
  <Words>84</Words>
  <Characters>104</Characters>
  <Lines>58</Lines>
  <Paragraphs>16</Paragraphs>
  <TotalTime>4</TotalTime>
  <ScaleCrop>false</ScaleCrop>
  <LinksUpToDate>false</LinksUpToDate>
  <CharactersWithSpaces>104</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2023-03-09T05:13:00Z</dcterms:created>
  <dc:creator>审核人</dc:creator>
  <cp:lastModifiedBy>℃</cp:lastModifiedBy>
  <dcterms:modified xsi:type="dcterms:W3CDTF">2025-08-27T05:49:55Z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y fmtid="{D5CDD505-2E9C-101B-9397-08002B2CF9AE}" pid="3" name="ICV">
    <vt:lpwstr>EC99773F21B349659AE205148812517A_13</vt:lpwstr>
  </property>
  <property fmtid="{D5CDD505-2E9C-101B-9397-08002B2CF9AE}" pid="4" name="KSOTemplateDocerSaveRecord">
    <vt:lpwstr>eyJoZGlkIjoiY2UxYTY5Njg0NWU1NDU5MmE3NzhjZDNiMDAyZDZjNWUiLCJ1c2VySWQiOiIxMTEwNzY4OCJ9</vt:lpwstr>
  </property>
</Properties>
</file>